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C" w:rsidRPr="00D64ABE" w:rsidRDefault="00D64ABE" w:rsidP="00D64ABE">
      <w:pPr>
        <w:pStyle w:val="Default"/>
        <w:jc w:val="center"/>
        <w:rPr>
          <w:bCs/>
          <w:i/>
          <w:sz w:val="20"/>
        </w:rPr>
      </w:pPr>
      <w:r>
        <w:rPr>
          <w:rFonts w:eastAsia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08AB12" wp14:editId="599794D3">
            <wp:simplePos x="0" y="0"/>
            <wp:positionH relativeFrom="column">
              <wp:posOffset>-36830</wp:posOffset>
            </wp:positionH>
            <wp:positionV relativeFrom="paragraph">
              <wp:posOffset>-540385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4DC" w:rsidRPr="0014498D">
        <w:rPr>
          <w:b/>
          <w:bCs/>
        </w:rPr>
        <w:t>Stanowisko</w:t>
      </w:r>
    </w:p>
    <w:p w:rsidR="008A54DC" w:rsidRPr="0014498D" w:rsidRDefault="008A54DC" w:rsidP="008A54DC">
      <w:pPr>
        <w:pStyle w:val="Default"/>
        <w:jc w:val="center"/>
      </w:pPr>
      <w:r w:rsidRPr="0014498D">
        <w:rPr>
          <w:b/>
          <w:bCs/>
        </w:rPr>
        <w:t>Zarządu Śląskiego Związku Gmin i Powiatów</w:t>
      </w:r>
    </w:p>
    <w:p w:rsidR="008A54DC" w:rsidRPr="0014498D" w:rsidRDefault="008A54DC" w:rsidP="008A54DC">
      <w:pPr>
        <w:pStyle w:val="Default"/>
        <w:jc w:val="center"/>
      </w:pPr>
      <w:r w:rsidRPr="0014498D">
        <w:rPr>
          <w:b/>
          <w:bCs/>
        </w:rPr>
        <w:t xml:space="preserve">z dnia </w:t>
      </w:r>
      <w:r>
        <w:rPr>
          <w:b/>
          <w:bCs/>
        </w:rPr>
        <w:t xml:space="preserve">14 września </w:t>
      </w:r>
      <w:r w:rsidRPr="0014498D">
        <w:rPr>
          <w:b/>
          <w:bCs/>
        </w:rPr>
        <w:t>2018 r.</w:t>
      </w:r>
    </w:p>
    <w:p w:rsidR="008A54DC" w:rsidRPr="00D64ABE" w:rsidRDefault="008A54DC" w:rsidP="008A54DC">
      <w:pPr>
        <w:pStyle w:val="Default"/>
        <w:spacing w:after="120" w:line="36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0D7149" w:rsidRPr="008A54DC" w:rsidRDefault="008A54DC" w:rsidP="00881B31">
      <w:pPr>
        <w:spacing w:after="120"/>
        <w:ind w:left="1276" w:hanging="1276"/>
        <w:jc w:val="both"/>
        <w:rPr>
          <w:b/>
          <w:bCs/>
          <w:i/>
          <w:color w:val="000000"/>
        </w:rPr>
      </w:pPr>
      <w:r w:rsidRPr="001A327D">
        <w:rPr>
          <w:bCs/>
        </w:rPr>
        <w:t>w sprawie:</w:t>
      </w:r>
      <w:r w:rsidRPr="001A327D">
        <w:rPr>
          <w:b/>
          <w:bCs/>
        </w:rPr>
        <w:tab/>
      </w:r>
      <w:r w:rsidR="002B664D" w:rsidRPr="008A54DC">
        <w:rPr>
          <w:rFonts w:eastAsia="Calibri" w:cs="Times New Roman"/>
          <w:b/>
          <w:bCs/>
          <w:color w:val="000000"/>
          <w:kern w:val="0"/>
          <w:lang w:eastAsia="en-US"/>
        </w:rPr>
        <w:t>kon</w:t>
      </w:r>
      <w:r w:rsidRPr="008A54DC">
        <w:rPr>
          <w:rFonts w:eastAsia="Calibri" w:cs="Times New Roman"/>
          <w:b/>
          <w:bCs/>
          <w:color w:val="000000"/>
          <w:kern w:val="0"/>
          <w:lang w:eastAsia="en-US"/>
        </w:rPr>
        <w:t>ieczności wprowadzenia zmian w u</w:t>
      </w:r>
      <w:r w:rsidR="002B664D" w:rsidRPr="008A54DC">
        <w:rPr>
          <w:rFonts w:eastAsia="Calibri" w:cs="Times New Roman"/>
          <w:b/>
          <w:bCs/>
          <w:color w:val="000000"/>
          <w:kern w:val="0"/>
          <w:lang w:eastAsia="en-US"/>
        </w:rPr>
        <w:t>stawie o planowaniu i zagos</w:t>
      </w:r>
      <w:r w:rsidRPr="008A54DC">
        <w:rPr>
          <w:rFonts w:eastAsia="Calibri" w:cs="Times New Roman"/>
          <w:b/>
          <w:bCs/>
          <w:color w:val="000000"/>
          <w:kern w:val="0"/>
          <w:lang w:eastAsia="en-US"/>
        </w:rPr>
        <w:t>podarowaniu przestrzennym</w:t>
      </w:r>
      <w:r w:rsidR="002B664D" w:rsidRPr="008A54DC">
        <w:rPr>
          <w:rFonts w:eastAsia="Calibri" w:cs="Times New Roman"/>
          <w:b/>
          <w:bCs/>
          <w:color w:val="000000"/>
          <w:kern w:val="0"/>
          <w:lang w:eastAsia="en-US"/>
        </w:rPr>
        <w:t xml:space="preserve"> </w:t>
      </w:r>
      <w:r w:rsidRPr="008A54DC">
        <w:rPr>
          <w:rFonts w:eastAsia="Calibri" w:cs="Times New Roman"/>
          <w:b/>
          <w:bCs/>
          <w:color w:val="000000"/>
          <w:kern w:val="0"/>
          <w:lang w:eastAsia="en-US"/>
        </w:rPr>
        <w:t>i w u</w:t>
      </w:r>
      <w:r w:rsidR="002B664D" w:rsidRPr="008A54DC">
        <w:rPr>
          <w:rFonts w:eastAsia="Calibri" w:cs="Times New Roman"/>
          <w:b/>
          <w:bCs/>
          <w:color w:val="000000"/>
          <w:kern w:val="0"/>
          <w:lang w:eastAsia="en-US"/>
        </w:rPr>
        <w:t>stawie o gospodarce nieruchomościami</w:t>
      </w:r>
      <w:r w:rsidR="002B664D" w:rsidRPr="008A54DC">
        <w:rPr>
          <w:rFonts w:eastAsia="Calibri" w:cs="Times New Roman"/>
          <w:b/>
          <w:bCs/>
          <w:i/>
          <w:color w:val="000000"/>
          <w:kern w:val="0"/>
          <w:lang w:eastAsia="en-US"/>
        </w:rPr>
        <w:t xml:space="preserve"> </w:t>
      </w:r>
    </w:p>
    <w:p w:rsidR="000D7149" w:rsidRDefault="000D7149">
      <w:pPr>
        <w:pStyle w:val="Textbody"/>
        <w:spacing w:after="0" w:line="276" w:lineRule="auto"/>
        <w:jc w:val="center"/>
        <w:rPr>
          <w:rFonts w:ascii="Arial" w:hAnsi="Arial"/>
          <w:sz w:val="22"/>
          <w:szCs w:val="22"/>
        </w:rPr>
      </w:pPr>
    </w:p>
    <w:p w:rsidR="000D7149" w:rsidRPr="00D75C9E" w:rsidRDefault="002B664D" w:rsidP="00D75C9E">
      <w:pPr>
        <w:pStyle w:val="Textbody"/>
        <w:spacing w:after="0" w:line="276" w:lineRule="auto"/>
        <w:jc w:val="both"/>
        <w:rPr>
          <w:bCs/>
        </w:rPr>
      </w:pPr>
      <w:r>
        <w:rPr>
          <w:rFonts w:ascii="Arial" w:hAnsi="Arial"/>
          <w:sz w:val="22"/>
          <w:szCs w:val="22"/>
        </w:rPr>
        <w:tab/>
      </w:r>
      <w:r w:rsidRPr="00D75C9E">
        <w:rPr>
          <w:bCs/>
        </w:rPr>
        <w:t xml:space="preserve">Zgodnie z </w:t>
      </w:r>
      <w:r w:rsidR="00D75C9E">
        <w:rPr>
          <w:bCs/>
        </w:rPr>
        <w:t xml:space="preserve">art. 36 ust. </w:t>
      </w:r>
      <w:r w:rsidRPr="00D75C9E">
        <w:rPr>
          <w:bCs/>
        </w:rPr>
        <w:t xml:space="preserve">1 </w:t>
      </w:r>
      <w:r w:rsidR="00D75C9E">
        <w:rPr>
          <w:bCs/>
        </w:rPr>
        <w:t>ustawy o planowaniu i zagospodarowaniu przestrzennym</w:t>
      </w:r>
      <w:r w:rsidRPr="00D75C9E">
        <w:rPr>
          <w:bCs/>
        </w:rPr>
        <w:t xml:space="preserve"> jeżeli na skutek uchwalenia </w:t>
      </w:r>
      <w:r w:rsidR="00D75C9E">
        <w:rPr>
          <w:bCs/>
        </w:rPr>
        <w:t>m</w:t>
      </w:r>
      <w:r w:rsidRPr="00D75C9E">
        <w:rPr>
          <w:bCs/>
        </w:rPr>
        <w:t>iejscowego planu zagospodarowania przestrzennego</w:t>
      </w:r>
      <w:r w:rsidR="00D75C9E">
        <w:rPr>
          <w:bCs/>
        </w:rPr>
        <w:t xml:space="preserve"> (</w:t>
      </w:r>
      <w:proofErr w:type="spellStart"/>
      <w:r w:rsidR="00D75C9E">
        <w:rPr>
          <w:bCs/>
        </w:rPr>
        <w:t>mpzp</w:t>
      </w:r>
      <w:proofErr w:type="spellEnd"/>
      <w:r w:rsidR="00D75C9E">
        <w:rPr>
          <w:bCs/>
        </w:rPr>
        <w:t>)</w:t>
      </w:r>
      <w:r w:rsidRPr="00D75C9E">
        <w:rPr>
          <w:bCs/>
        </w:rPr>
        <w:t xml:space="preserve"> lub jego zmiany korzystanie z nieruchomości zgodnie z jej dotychczasowym przeznaczeniem stało się niemożliwe lub istotnie ograniczone</w:t>
      </w:r>
      <w:r w:rsidR="00D75C9E">
        <w:rPr>
          <w:bCs/>
        </w:rPr>
        <w:t>,</w:t>
      </w:r>
      <w:r w:rsidRPr="00D75C9E">
        <w:rPr>
          <w:bCs/>
        </w:rPr>
        <w:t xml:space="preserve"> to właściciel lub użytkownik wieczysty ni</w:t>
      </w:r>
      <w:r w:rsidR="00D75C9E">
        <w:rPr>
          <w:bCs/>
        </w:rPr>
        <w:t xml:space="preserve">eruchomości może żądać od gminy </w:t>
      </w:r>
      <w:r w:rsidRPr="00D75C9E">
        <w:rPr>
          <w:bCs/>
        </w:rPr>
        <w:t>odszkodowania za poniesioną rzeczywistą szkodę,</w:t>
      </w:r>
      <w:r w:rsidR="00D75C9E">
        <w:rPr>
          <w:bCs/>
        </w:rPr>
        <w:t xml:space="preserve"> bądź </w:t>
      </w:r>
      <w:r w:rsidRPr="00D75C9E">
        <w:rPr>
          <w:bCs/>
        </w:rPr>
        <w:t>wykupienia nieruchomości lub jej części</w:t>
      </w:r>
      <w:r w:rsidR="00D75C9E">
        <w:rPr>
          <w:bCs/>
        </w:rPr>
        <w:t>. R</w:t>
      </w:r>
      <w:r w:rsidRPr="00D75C9E">
        <w:rPr>
          <w:bCs/>
        </w:rPr>
        <w:t xml:space="preserve">ealizacja roszczeń może </w:t>
      </w:r>
      <w:r w:rsidR="00D75C9E">
        <w:rPr>
          <w:bCs/>
        </w:rPr>
        <w:t xml:space="preserve">także </w:t>
      </w:r>
      <w:r w:rsidRPr="00D75C9E">
        <w:rPr>
          <w:bCs/>
        </w:rPr>
        <w:t xml:space="preserve">nastąpić w drodze zaoferowania nieruchomości zamiennej                  </w:t>
      </w:r>
      <w:r w:rsidR="00D75C9E">
        <w:rPr>
          <w:bCs/>
        </w:rPr>
        <w:t>(zgodnie z art. 36 ust. 2 ustawy o planowaniu i zagospodarowaniu przestrzennym</w:t>
      </w:r>
      <w:r w:rsidRPr="00D75C9E">
        <w:rPr>
          <w:bCs/>
        </w:rPr>
        <w:t>).</w:t>
      </w:r>
    </w:p>
    <w:p w:rsid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ab/>
      </w:r>
    </w:p>
    <w:p w:rsidR="000D7149" w:rsidRDefault="002B664D" w:rsidP="00D75C9E">
      <w:pPr>
        <w:pStyle w:val="Textbody"/>
        <w:spacing w:after="0" w:line="276" w:lineRule="auto"/>
        <w:ind w:firstLine="706"/>
        <w:jc w:val="both"/>
        <w:rPr>
          <w:bCs/>
        </w:rPr>
      </w:pPr>
      <w:r w:rsidRPr="00D75C9E">
        <w:rPr>
          <w:bCs/>
        </w:rPr>
        <w:t>Właściciel lub użytkownik wieczysty, który nie</w:t>
      </w:r>
      <w:r w:rsidR="00D75C9E">
        <w:rPr>
          <w:bCs/>
        </w:rPr>
        <w:t xml:space="preserve"> skorzystał z przepisów art. 36 ust. 1</w:t>
      </w:r>
      <w:r w:rsidRPr="00D75C9E">
        <w:rPr>
          <w:bCs/>
        </w:rPr>
        <w:t xml:space="preserve"> i </w:t>
      </w:r>
      <w:r w:rsidR="00D75C9E">
        <w:rPr>
          <w:bCs/>
        </w:rPr>
        <w:t>ust. 2 ustawy o planowaniu i zagospodarowaniu przestrzennym</w:t>
      </w:r>
      <w:r w:rsidR="00D75C9E" w:rsidRPr="00D75C9E">
        <w:rPr>
          <w:bCs/>
        </w:rPr>
        <w:t xml:space="preserve"> </w:t>
      </w:r>
      <w:r w:rsidRPr="00D75C9E">
        <w:rPr>
          <w:bCs/>
        </w:rPr>
        <w:t xml:space="preserve">może </w:t>
      </w:r>
      <w:r w:rsidR="00D75C9E">
        <w:rPr>
          <w:bCs/>
        </w:rPr>
        <w:t xml:space="preserve">- </w:t>
      </w:r>
      <w:r w:rsidRPr="00D75C9E">
        <w:rPr>
          <w:bCs/>
        </w:rPr>
        <w:t xml:space="preserve">w przypadku gdy nieruchomość jest zbywana, a na skutek uchwalenia </w:t>
      </w:r>
      <w:proofErr w:type="spellStart"/>
      <w:r w:rsidR="00D75C9E">
        <w:rPr>
          <w:bCs/>
        </w:rPr>
        <w:t>mpzp</w:t>
      </w:r>
      <w:proofErr w:type="spellEnd"/>
      <w:r w:rsidRPr="00D75C9E">
        <w:rPr>
          <w:bCs/>
        </w:rPr>
        <w:t xml:space="preserve"> lub jego zmiany wartość nieruchomości uległa obniżeniu </w:t>
      </w:r>
      <w:r w:rsidR="00D75C9E">
        <w:rPr>
          <w:bCs/>
        </w:rPr>
        <w:t>– wystąpić</w:t>
      </w:r>
      <w:r w:rsidRPr="00D75C9E">
        <w:rPr>
          <w:bCs/>
        </w:rPr>
        <w:t xml:space="preserve"> w stosunku do gminy z żądaniem odszkodowania równego obniżeniu wartości nie</w:t>
      </w:r>
      <w:r w:rsidR="00D75C9E">
        <w:rPr>
          <w:bCs/>
        </w:rPr>
        <w:t>ruchomości na podstawie art. 36 ust</w:t>
      </w:r>
      <w:r w:rsidR="003F32EB">
        <w:rPr>
          <w:bCs/>
        </w:rPr>
        <w:t>.</w:t>
      </w:r>
      <w:r w:rsidR="00D75C9E">
        <w:rPr>
          <w:bCs/>
        </w:rPr>
        <w:t xml:space="preserve"> 3 ustawy o planowaniu i zagospodarowaniu przestrzennym.</w:t>
      </w:r>
    </w:p>
    <w:p w:rsidR="00D75C9E" w:rsidRPr="00D75C9E" w:rsidRDefault="00D75C9E" w:rsidP="00D75C9E">
      <w:pPr>
        <w:pStyle w:val="Textbody"/>
        <w:spacing w:after="0" w:line="276" w:lineRule="auto"/>
        <w:ind w:firstLine="706"/>
        <w:jc w:val="both"/>
        <w:rPr>
          <w:bCs/>
        </w:rPr>
      </w:pPr>
    </w:p>
    <w:p w:rsidR="000D7149" w:rsidRP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ab/>
        <w:t>Problem braku zdefiniowania „przeznaczenia nieruchomości” rodzi dla gmin daleko idące konsekwencje finansowe</w:t>
      </w:r>
      <w:r w:rsidR="00D75C9E">
        <w:rPr>
          <w:bCs/>
        </w:rPr>
        <w:t>,</w:t>
      </w:r>
      <w:r w:rsidRPr="00D75C9E">
        <w:rPr>
          <w:bCs/>
        </w:rPr>
        <w:t xml:space="preserve"> związane z szacowaniem nieruchomości </w:t>
      </w:r>
      <w:r w:rsidR="00D75C9E">
        <w:rPr>
          <w:bCs/>
        </w:rPr>
        <w:t>w celu określenia odszkodowania. W szczególności</w:t>
      </w:r>
      <w:r w:rsidRPr="00D75C9E">
        <w:rPr>
          <w:bCs/>
        </w:rPr>
        <w:t xml:space="preserve"> </w:t>
      </w:r>
      <w:r w:rsidR="00D75C9E">
        <w:rPr>
          <w:bCs/>
        </w:rPr>
        <w:t>trudność</w:t>
      </w:r>
      <w:r w:rsidRPr="00D75C9E">
        <w:rPr>
          <w:bCs/>
        </w:rPr>
        <w:t xml:space="preserve"> stanowią </w:t>
      </w:r>
      <w:r w:rsidR="00D75C9E">
        <w:rPr>
          <w:bCs/>
        </w:rPr>
        <w:t>postanowienia</w:t>
      </w:r>
      <w:r w:rsidR="00326EA1">
        <w:rPr>
          <w:bCs/>
        </w:rPr>
        <w:t xml:space="preserve"> art. 154 ust. </w:t>
      </w:r>
      <w:r w:rsidRPr="00D75C9E">
        <w:rPr>
          <w:bCs/>
        </w:rPr>
        <w:t xml:space="preserve">2 i </w:t>
      </w:r>
      <w:r w:rsidR="00326EA1">
        <w:rPr>
          <w:bCs/>
        </w:rPr>
        <w:t>ust. 3</w:t>
      </w:r>
      <w:r w:rsidRPr="00D75C9E">
        <w:rPr>
          <w:bCs/>
        </w:rPr>
        <w:t xml:space="preserve"> </w:t>
      </w:r>
      <w:r w:rsidR="00326EA1">
        <w:rPr>
          <w:bCs/>
        </w:rPr>
        <w:t>u</w:t>
      </w:r>
      <w:r w:rsidR="00D13E10">
        <w:rPr>
          <w:bCs/>
        </w:rPr>
        <w:t>stawy o </w:t>
      </w:r>
      <w:r w:rsidRPr="00D75C9E">
        <w:rPr>
          <w:bCs/>
        </w:rPr>
        <w:t>gospodarce nieruchomościami. Na ich podstawie rzeczoznawcy majątkowi szacują należne odszkodowanie na podstawie dokumentów, które nie stanowią o prze</w:t>
      </w:r>
      <w:r w:rsidR="00326EA1">
        <w:rPr>
          <w:bCs/>
        </w:rPr>
        <w:t xml:space="preserve">znaczeniu nieruchomości, </w:t>
      </w:r>
      <w:r w:rsidRPr="00D75C9E">
        <w:rPr>
          <w:bCs/>
        </w:rPr>
        <w:t xml:space="preserve">tj. na podstawie studium uwarunkowań i kierunków zagospodarowania przestrzennego gminy lub decyzji </w:t>
      </w:r>
      <w:r w:rsidR="00326EA1" w:rsidRPr="00326EA1">
        <w:rPr>
          <w:bCs/>
        </w:rPr>
        <w:t>o warunkach zabudowy i zagospodarowania terenu</w:t>
      </w:r>
      <w:r w:rsidR="00326EA1">
        <w:rPr>
          <w:bCs/>
        </w:rPr>
        <w:t xml:space="preserve"> (</w:t>
      </w:r>
      <w:proofErr w:type="spellStart"/>
      <w:r w:rsidR="00326EA1">
        <w:rPr>
          <w:bCs/>
        </w:rPr>
        <w:t>wzizt</w:t>
      </w:r>
      <w:proofErr w:type="spellEnd"/>
      <w:r w:rsidR="00326EA1">
        <w:rPr>
          <w:bCs/>
        </w:rPr>
        <w:t>)</w:t>
      </w:r>
      <w:r w:rsidR="00326EA1" w:rsidRPr="00326EA1">
        <w:rPr>
          <w:bCs/>
        </w:rPr>
        <w:t>.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0D7149" w:rsidRPr="00D75C9E" w:rsidRDefault="002B664D" w:rsidP="00326EA1">
      <w:pPr>
        <w:pStyle w:val="Textbody"/>
        <w:spacing w:after="0" w:line="276" w:lineRule="auto"/>
        <w:ind w:firstLine="706"/>
        <w:jc w:val="both"/>
        <w:rPr>
          <w:bCs/>
        </w:rPr>
      </w:pPr>
      <w:r w:rsidRPr="00D75C9E">
        <w:rPr>
          <w:bCs/>
        </w:rPr>
        <w:t xml:space="preserve"> Należy prz</w:t>
      </w:r>
      <w:r w:rsidR="00326EA1">
        <w:rPr>
          <w:bCs/>
        </w:rPr>
        <w:t xml:space="preserve">y tym zwrócić uwagę na fakt, że </w:t>
      </w:r>
      <w:r w:rsidRPr="00D75C9E">
        <w:rPr>
          <w:bCs/>
        </w:rPr>
        <w:t xml:space="preserve">czas uzyskania decyzji o </w:t>
      </w:r>
      <w:proofErr w:type="spellStart"/>
      <w:r w:rsidR="00326EA1">
        <w:rPr>
          <w:bCs/>
        </w:rPr>
        <w:t>wzizt</w:t>
      </w:r>
      <w:proofErr w:type="spellEnd"/>
      <w:r w:rsidR="00326EA1">
        <w:rPr>
          <w:bCs/>
        </w:rPr>
        <w:t xml:space="preserve"> j</w:t>
      </w:r>
      <w:r w:rsidRPr="00D75C9E">
        <w:rPr>
          <w:bCs/>
        </w:rPr>
        <w:t xml:space="preserve">est niewspółmiernie krótszy od procedury </w:t>
      </w:r>
      <w:r w:rsidR="00326EA1">
        <w:rPr>
          <w:bCs/>
        </w:rPr>
        <w:t xml:space="preserve">uchwalenia </w:t>
      </w:r>
      <w:proofErr w:type="spellStart"/>
      <w:r w:rsidR="00326EA1">
        <w:rPr>
          <w:bCs/>
        </w:rPr>
        <w:t>mpzp</w:t>
      </w:r>
      <w:proofErr w:type="spellEnd"/>
      <w:r w:rsidRPr="00D75C9E">
        <w:rPr>
          <w:bCs/>
        </w:rPr>
        <w:t xml:space="preserve"> i pozwala na wystąpienie z wnioskiem i uzyskanie decyzji o </w:t>
      </w:r>
      <w:proofErr w:type="spellStart"/>
      <w:r w:rsidR="00326EA1">
        <w:rPr>
          <w:bCs/>
        </w:rPr>
        <w:t>wzizt</w:t>
      </w:r>
      <w:proofErr w:type="spellEnd"/>
      <w:r w:rsidRPr="00D75C9E">
        <w:rPr>
          <w:bCs/>
        </w:rPr>
        <w:t xml:space="preserve"> nawet po przystąpieniu</w:t>
      </w:r>
      <w:r w:rsidR="00326EA1">
        <w:rPr>
          <w:bCs/>
        </w:rPr>
        <w:t xml:space="preserve"> przez gminę do opracowania </w:t>
      </w:r>
      <w:proofErr w:type="spellStart"/>
      <w:r w:rsidR="00326EA1">
        <w:rPr>
          <w:bCs/>
        </w:rPr>
        <w:t>mpzp</w:t>
      </w:r>
      <w:proofErr w:type="spellEnd"/>
      <w:r w:rsidRPr="00D75C9E">
        <w:rPr>
          <w:bCs/>
        </w:rPr>
        <w:t>.</w:t>
      </w:r>
      <w:r w:rsidR="00326EA1">
        <w:rPr>
          <w:bCs/>
        </w:rPr>
        <w:t xml:space="preserve"> Jednocześnie </w:t>
      </w:r>
      <w:r w:rsidRPr="00D75C9E">
        <w:rPr>
          <w:bCs/>
        </w:rPr>
        <w:t xml:space="preserve">w stosunku do określonej nieruchomości z wnioskiem o wydanie decyzji o </w:t>
      </w:r>
      <w:proofErr w:type="spellStart"/>
      <w:r w:rsidR="00326EA1">
        <w:rPr>
          <w:bCs/>
        </w:rPr>
        <w:t>wzizt</w:t>
      </w:r>
      <w:proofErr w:type="spellEnd"/>
      <w:r w:rsidRPr="00D75C9E">
        <w:rPr>
          <w:bCs/>
        </w:rPr>
        <w:t xml:space="preserve"> może się zwrócić wiele osób, przy czym każda może wnieść o wydanie decyzji na ustalenie innego sposobu zagospodarowania. Jeżeli tylko analiza ciągłości funkcji wypadnie pozytywnie, to mamy do czynienia z syt</w:t>
      </w:r>
      <w:r w:rsidR="00326EA1">
        <w:rPr>
          <w:bCs/>
        </w:rPr>
        <w:t>uacją, że dla danej nieruchomości</w:t>
      </w:r>
      <w:r w:rsidRPr="00D75C9E">
        <w:rPr>
          <w:bCs/>
        </w:rPr>
        <w:t xml:space="preserve"> istnieje wiele sposobów zagospodarowania. </w:t>
      </w:r>
      <w:r w:rsidR="00326EA1">
        <w:rPr>
          <w:bCs/>
        </w:rPr>
        <w:br/>
        <w:t>W sytuacji g</w:t>
      </w:r>
      <w:r w:rsidRPr="00D75C9E">
        <w:rPr>
          <w:bCs/>
        </w:rPr>
        <w:t>dyby decyzj</w:t>
      </w:r>
      <w:r w:rsidR="00326EA1">
        <w:rPr>
          <w:bCs/>
        </w:rPr>
        <w:t xml:space="preserve">a o </w:t>
      </w:r>
      <w:proofErr w:type="spellStart"/>
      <w:r w:rsidR="00326EA1">
        <w:rPr>
          <w:bCs/>
        </w:rPr>
        <w:t>wzizt</w:t>
      </w:r>
      <w:proofErr w:type="spellEnd"/>
      <w:r w:rsidRPr="00D75C9E">
        <w:rPr>
          <w:bCs/>
        </w:rPr>
        <w:t xml:space="preserve"> ustalała przeznaczenie nieruchomości –</w:t>
      </w:r>
      <w:r w:rsidR="00326EA1">
        <w:rPr>
          <w:bCs/>
        </w:rPr>
        <w:t xml:space="preserve"> </w:t>
      </w:r>
      <w:r w:rsidRPr="00D75C9E">
        <w:rPr>
          <w:bCs/>
        </w:rPr>
        <w:t>oznaczało</w:t>
      </w:r>
      <w:r w:rsidR="00326EA1">
        <w:rPr>
          <w:bCs/>
        </w:rPr>
        <w:t>by to</w:t>
      </w:r>
      <w:r w:rsidRPr="00D75C9E">
        <w:rPr>
          <w:bCs/>
        </w:rPr>
        <w:t>, że nieruchomość ma wiele p</w:t>
      </w:r>
      <w:r w:rsidR="00326EA1">
        <w:rPr>
          <w:bCs/>
        </w:rPr>
        <w:t xml:space="preserve">rzeznaczeń – co byłoby absurdem. Należy także pamiętać, że </w:t>
      </w:r>
      <w:r w:rsidRPr="00D75C9E">
        <w:rPr>
          <w:bCs/>
        </w:rPr>
        <w:t xml:space="preserve">częstokroć inwestorzy występują z wnioskiem i uzyskują na podstawie analizy ciągłości funkcji decyzję </w:t>
      </w:r>
      <w:proofErr w:type="spellStart"/>
      <w:r w:rsidR="00326EA1">
        <w:rPr>
          <w:bCs/>
        </w:rPr>
        <w:t>wzizt</w:t>
      </w:r>
      <w:proofErr w:type="spellEnd"/>
      <w:r w:rsidRPr="00D75C9E">
        <w:rPr>
          <w:bCs/>
        </w:rPr>
        <w:t xml:space="preserve"> na hipotetyczne przedsięwzięcia, które nie mają nic wspólnego z faktycznym sposobem użytkowania nieruchomości</w:t>
      </w:r>
      <w:r w:rsidR="0030179A">
        <w:rPr>
          <w:bCs/>
        </w:rPr>
        <w:t>. Należy przy tym stwierdzić, że</w:t>
      </w:r>
      <w:r w:rsidRPr="00D75C9E">
        <w:rPr>
          <w:bCs/>
        </w:rPr>
        <w:t xml:space="preserve"> możliwy kierunek zagospodarowania nieruchomości absolutnie nie może przesądzać o przeznaczeniu nieruchomości, a tym bardziej stanowić podstawy do wyszacowania wysokości odszkodowania.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30179A" w:rsidRDefault="0030179A" w:rsidP="0030179A">
      <w:pPr>
        <w:pStyle w:val="Textbody"/>
        <w:spacing w:after="0" w:line="276" w:lineRule="auto"/>
        <w:ind w:firstLine="706"/>
        <w:jc w:val="both"/>
        <w:rPr>
          <w:bCs/>
        </w:rPr>
      </w:pPr>
      <w:r>
        <w:rPr>
          <w:bCs/>
        </w:rPr>
        <w:t xml:space="preserve">O ile art. 4 ust. </w:t>
      </w:r>
      <w:r w:rsidR="002B664D" w:rsidRPr="00D75C9E">
        <w:rPr>
          <w:bCs/>
        </w:rPr>
        <w:t>1</w:t>
      </w:r>
      <w:r>
        <w:rPr>
          <w:bCs/>
        </w:rPr>
        <w:t xml:space="preserve"> ustawy o planowaniu i zagospodarowaniu przestrzennym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="002B664D" w:rsidRPr="00D75C9E">
        <w:rPr>
          <w:bCs/>
        </w:rPr>
        <w:t xml:space="preserve">jasno precyzuje, że w miejscowym planie zagospodarowania przestrzennego następuje </w:t>
      </w:r>
      <w:r>
        <w:rPr>
          <w:bCs/>
        </w:rPr>
        <w:t>zarówno:</w:t>
      </w:r>
    </w:p>
    <w:p w:rsidR="0030179A" w:rsidRDefault="002B664D" w:rsidP="0030179A">
      <w:pPr>
        <w:pStyle w:val="Textbody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D75C9E">
        <w:rPr>
          <w:bCs/>
        </w:rPr>
        <w:t>ustalenie przeznaczenia terenu,</w:t>
      </w:r>
      <w:r w:rsidR="0030179A">
        <w:rPr>
          <w:bCs/>
        </w:rPr>
        <w:t xml:space="preserve"> </w:t>
      </w:r>
    </w:p>
    <w:p w:rsidR="0030179A" w:rsidRDefault="002B664D" w:rsidP="0030179A">
      <w:pPr>
        <w:pStyle w:val="Textbody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D75C9E">
        <w:rPr>
          <w:bCs/>
        </w:rPr>
        <w:t xml:space="preserve">rozmieszczenie inwestycji celu publicznego </w:t>
      </w:r>
    </w:p>
    <w:p w:rsidR="0030179A" w:rsidRDefault="002B664D" w:rsidP="0030179A">
      <w:pPr>
        <w:pStyle w:val="Textbody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D75C9E">
        <w:rPr>
          <w:bCs/>
        </w:rPr>
        <w:t>określenie sposobów zagospodarowania i warunków zabudowy terenu,</w:t>
      </w:r>
      <w:r w:rsidR="0030179A">
        <w:rPr>
          <w:bCs/>
        </w:rPr>
        <w:t xml:space="preserve"> </w:t>
      </w:r>
    </w:p>
    <w:p w:rsidR="000D7149" w:rsidRPr="00D75C9E" w:rsidRDefault="002B664D" w:rsidP="0030179A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>o tyle zgodnie z art. 4.</w:t>
      </w:r>
      <w:r w:rsidR="0030179A">
        <w:rPr>
          <w:bCs/>
        </w:rPr>
        <w:t xml:space="preserve"> ust </w:t>
      </w:r>
      <w:r w:rsidRPr="00D75C9E">
        <w:rPr>
          <w:bCs/>
        </w:rPr>
        <w:t xml:space="preserve">2. </w:t>
      </w:r>
      <w:r w:rsidR="0030179A">
        <w:rPr>
          <w:bCs/>
        </w:rPr>
        <w:t xml:space="preserve">tej ustawy </w:t>
      </w:r>
      <w:r w:rsidRPr="00D75C9E">
        <w:rPr>
          <w:bCs/>
        </w:rPr>
        <w:t>w drodze decyzji o warunkach zab</w:t>
      </w:r>
      <w:r w:rsidR="0030179A">
        <w:rPr>
          <w:bCs/>
        </w:rPr>
        <w:t xml:space="preserve">udowy </w:t>
      </w:r>
      <w:r w:rsidR="0030179A">
        <w:rPr>
          <w:bCs/>
        </w:rPr>
        <w:br/>
        <w:t xml:space="preserve">i zagospodarowania terenu </w:t>
      </w:r>
      <w:r w:rsidRPr="00D75C9E">
        <w:rPr>
          <w:bCs/>
        </w:rPr>
        <w:t>określa się  jedynie sposób zagospodarowania i warunków zabudowy terenu.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0D7149" w:rsidRPr="00D75C9E" w:rsidRDefault="002B664D" w:rsidP="00436D21">
      <w:pPr>
        <w:pStyle w:val="Textbody"/>
        <w:spacing w:after="0" w:line="276" w:lineRule="auto"/>
        <w:ind w:firstLine="706"/>
        <w:jc w:val="both"/>
        <w:rPr>
          <w:bCs/>
        </w:rPr>
      </w:pPr>
      <w:r w:rsidRPr="00D75C9E">
        <w:rPr>
          <w:bCs/>
        </w:rPr>
        <w:t>Podobnie jak w przypadku decyzji o warunkach zabudowy i zagospodarowania terenu jest również</w:t>
      </w:r>
      <w:r w:rsidR="00436D21">
        <w:rPr>
          <w:bCs/>
        </w:rPr>
        <w:t xml:space="preserve"> </w:t>
      </w:r>
      <w:r w:rsidRPr="00D75C9E">
        <w:rPr>
          <w:bCs/>
        </w:rPr>
        <w:t>w przypadku studium uwarunkowań i</w:t>
      </w:r>
      <w:r w:rsidR="00436D21">
        <w:rPr>
          <w:bCs/>
        </w:rPr>
        <w:t xml:space="preserve"> zagospodarowania terenu, które w świetle art 9 ust. </w:t>
      </w:r>
      <w:r w:rsidRPr="00D75C9E">
        <w:rPr>
          <w:bCs/>
        </w:rPr>
        <w:t xml:space="preserve">5 </w:t>
      </w:r>
      <w:r w:rsidR="00436D21">
        <w:rPr>
          <w:bCs/>
        </w:rPr>
        <w:t>ustawy o planowaniu i zagospodarowaniu przestrzennym</w:t>
      </w:r>
      <w:r w:rsidRPr="00D75C9E">
        <w:rPr>
          <w:bCs/>
        </w:rPr>
        <w:t xml:space="preserve"> n</w:t>
      </w:r>
      <w:r w:rsidR="00436D21">
        <w:rPr>
          <w:bCs/>
        </w:rPr>
        <w:t xml:space="preserve">ie jest aktem prawa miejscowego oraz </w:t>
      </w:r>
      <w:r w:rsidRPr="00D75C9E">
        <w:rPr>
          <w:bCs/>
        </w:rPr>
        <w:t>jego postanowienia kierowane są do organów gminy i są dla nich wiążące przy sporządzaniu planów zagospodarowania przestrzennego.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0D7149" w:rsidRP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ab/>
        <w:t>Wobec powyższego podstawy do roszczeń, o których mowa powyżej nie może stanowić:</w:t>
      </w:r>
    </w:p>
    <w:p w:rsidR="000D7149" w:rsidRP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>- ani studium uwarunkowań i zagospodarowania terenu, które ma jedynie charakter aktu kierownictwa wewnętrznego gminy, służy koordynacji prac planistycznych i wyznacza kierunki dla planowania przestrzennego i nie rozstrzyga o przeznaczeniu nieruchomości,</w:t>
      </w:r>
    </w:p>
    <w:p w:rsidR="000D7149" w:rsidRP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>- ani decyzja o warunkach zabudowy i zagospodarowania terenu, gdyż w drodze tej decyzji nie następuje ustalenie przeznaczenia terenu</w:t>
      </w:r>
      <w:r w:rsidR="00436D21">
        <w:rPr>
          <w:bCs/>
        </w:rPr>
        <w:t>,</w:t>
      </w:r>
      <w:r w:rsidRPr="00D75C9E">
        <w:rPr>
          <w:bCs/>
        </w:rPr>
        <w:t xml:space="preserve"> a jedynie określenie sposobu zagospodarowania                       i warunków zabudowy terenu.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0D7149" w:rsidRPr="00D75C9E" w:rsidRDefault="002B664D">
      <w:pPr>
        <w:pStyle w:val="Textbody"/>
        <w:spacing w:after="0" w:line="276" w:lineRule="auto"/>
        <w:jc w:val="both"/>
        <w:rPr>
          <w:bCs/>
        </w:rPr>
      </w:pPr>
      <w:r w:rsidRPr="00D75C9E">
        <w:rPr>
          <w:bCs/>
        </w:rPr>
        <w:tab/>
        <w:t>Skoro więc przeznaczenie nieruchomości można ustalić wyłącznie na podstawie zapisów miejscowego planu zagospodarowania przestrzennego,</w:t>
      </w:r>
      <w:r w:rsidR="00881B31">
        <w:rPr>
          <w:bCs/>
        </w:rPr>
        <w:t xml:space="preserve"> to nie ma przesłanek,</w:t>
      </w:r>
      <w:r w:rsidRPr="00D75C9E">
        <w:rPr>
          <w:bCs/>
        </w:rPr>
        <w:t xml:space="preserve"> aby określenie wysokości odszkodowania odb</w:t>
      </w:r>
      <w:r w:rsidR="00881B31">
        <w:rPr>
          <w:bCs/>
        </w:rPr>
        <w:t xml:space="preserve">ywało się na podstawie art. 154 ust. </w:t>
      </w:r>
      <w:r w:rsidRPr="00D75C9E">
        <w:rPr>
          <w:bCs/>
        </w:rPr>
        <w:t xml:space="preserve">2 i </w:t>
      </w:r>
      <w:r w:rsidR="00881B31">
        <w:rPr>
          <w:bCs/>
        </w:rPr>
        <w:t>ust. 3 u</w:t>
      </w:r>
      <w:r w:rsidRPr="00D75C9E">
        <w:rPr>
          <w:bCs/>
        </w:rPr>
        <w:t>stawy z dnia               21 sierpnia 1997</w:t>
      </w:r>
      <w:r w:rsidR="00881B31">
        <w:rPr>
          <w:bCs/>
        </w:rPr>
        <w:t xml:space="preserve"> </w:t>
      </w:r>
      <w:r w:rsidRPr="00D75C9E">
        <w:rPr>
          <w:bCs/>
        </w:rPr>
        <w:t>r. o gospodarce nieruchomościami o brzmieniu „</w:t>
      </w:r>
      <w:r w:rsidRPr="00881B31">
        <w:rPr>
          <w:bCs/>
          <w:i/>
        </w:rPr>
        <w:t xml:space="preserve">W przypadku braku planu miejscowego przeznaczenie nieruchomości ustala się na podstawie studium uwarunkowań                      i kierunków zagospodarowania przestrzennego gminy lub decyzji o warunkach zabudowy                      i zagospodarowania terenu. </w:t>
      </w:r>
      <w:r w:rsidRPr="00D75C9E">
        <w:rPr>
          <w:bCs/>
        </w:rPr>
        <w:t>...”</w:t>
      </w:r>
    </w:p>
    <w:p w:rsidR="000D7149" w:rsidRPr="00D75C9E" w:rsidRDefault="000D7149">
      <w:pPr>
        <w:pStyle w:val="Textbody"/>
        <w:spacing w:after="0" w:line="276" w:lineRule="auto"/>
        <w:jc w:val="both"/>
        <w:rPr>
          <w:bCs/>
        </w:rPr>
      </w:pPr>
    </w:p>
    <w:p w:rsidR="000D7149" w:rsidRPr="00D75C9E" w:rsidRDefault="002B664D" w:rsidP="00881B31">
      <w:pPr>
        <w:pStyle w:val="Textbody"/>
        <w:spacing w:after="0" w:line="276" w:lineRule="auto"/>
        <w:ind w:firstLine="706"/>
        <w:jc w:val="both"/>
        <w:rPr>
          <w:bCs/>
        </w:rPr>
      </w:pPr>
      <w:r w:rsidRPr="00D75C9E">
        <w:rPr>
          <w:bCs/>
        </w:rPr>
        <w:t xml:space="preserve">W związku z powyższym w ocenie </w:t>
      </w:r>
      <w:r w:rsidR="00881B31">
        <w:rPr>
          <w:bCs/>
        </w:rPr>
        <w:t>Zarządu Związku</w:t>
      </w:r>
      <w:r w:rsidRPr="00D75C9E">
        <w:rPr>
          <w:bCs/>
        </w:rPr>
        <w:t xml:space="preserve"> niezbędne jest:</w:t>
      </w:r>
    </w:p>
    <w:p w:rsidR="00881B31" w:rsidRDefault="002B664D" w:rsidP="00881B31">
      <w:pPr>
        <w:pStyle w:val="Textbody"/>
        <w:numPr>
          <w:ilvl w:val="0"/>
          <w:numId w:val="5"/>
        </w:numPr>
        <w:spacing w:after="0" w:line="276" w:lineRule="auto"/>
        <w:ind w:left="284" w:hanging="284"/>
        <w:jc w:val="both"/>
        <w:rPr>
          <w:bCs/>
        </w:rPr>
      </w:pPr>
      <w:r w:rsidRPr="00D75C9E">
        <w:rPr>
          <w:bCs/>
        </w:rPr>
        <w:t>ustawowe zdefiniowanie pojęcia „przeznaczenie nieruchomości” poprzez określenie, że przeznaczenie nieruchomości określa</w:t>
      </w:r>
      <w:r w:rsidR="00881B31">
        <w:rPr>
          <w:bCs/>
        </w:rPr>
        <w:t xml:space="preserve"> </w:t>
      </w:r>
      <w:proofErr w:type="spellStart"/>
      <w:r w:rsidR="00881B31">
        <w:rPr>
          <w:bCs/>
        </w:rPr>
        <w:t>mpzp</w:t>
      </w:r>
      <w:proofErr w:type="spellEnd"/>
      <w:r w:rsidRPr="00D75C9E">
        <w:rPr>
          <w:bCs/>
        </w:rPr>
        <w:t xml:space="preserve"> lub faktyczny sposób użytkowania nieruchomości,</w:t>
      </w:r>
    </w:p>
    <w:p w:rsidR="000D7149" w:rsidRDefault="002B664D" w:rsidP="00881B31">
      <w:pPr>
        <w:pStyle w:val="Textbody"/>
        <w:numPr>
          <w:ilvl w:val="0"/>
          <w:numId w:val="5"/>
        </w:numPr>
        <w:spacing w:after="0" w:line="276" w:lineRule="auto"/>
        <w:ind w:left="284" w:hanging="284"/>
        <w:jc w:val="both"/>
        <w:rPr>
          <w:bCs/>
        </w:rPr>
      </w:pPr>
      <w:r w:rsidRPr="00D75C9E">
        <w:rPr>
          <w:bCs/>
        </w:rPr>
        <w:t xml:space="preserve">dokonanie zmian w art. 154 </w:t>
      </w:r>
      <w:r w:rsidR="00881B31">
        <w:rPr>
          <w:bCs/>
        </w:rPr>
        <w:t>u</w:t>
      </w:r>
      <w:r w:rsidRPr="00D75C9E">
        <w:rPr>
          <w:bCs/>
        </w:rPr>
        <w:t>stawy o gospodarce nieruchomościami dotyczących szacowania nieruchomości poprzez:</w:t>
      </w:r>
    </w:p>
    <w:p w:rsidR="000D7149" w:rsidRDefault="001F3826" w:rsidP="002B664D">
      <w:pPr>
        <w:pStyle w:val="Textbody"/>
        <w:numPr>
          <w:ilvl w:val="1"/>
          <w:numId w:val="5"/>
        </w:numPr>
        <w:spacing w:after="0" w:line="276" w:lineRule="auto"/>
        <w:jc w:val="both"/>
        <w:rPr>
          <w:bCs/>
        </w:rPr>
      </w:pPr>
      <w:r w:rsidRPr="002B664D">
        <w:rPr>
          <w:bCs/>
        </w:rPr>
        <w:t>zmianę treści ust.</w:t>
      </w:r>
      <w:r w:rsidR="002B664D" w:rsidRPr="002B664D">
        <w:rPr>
          <w:bCs/>
        </w:rPr>
        <w:t xml:space="preserve"> 2 </w:t>
      </w:r>
      <w:r w:rsidRPr="002B664D">
        <w:rPr>
          <w:bCs/>
        </w:rPr>
        <w:t xml:space="preserve">tegoż art. </w:t>
      </w:r>
      <w:r w:rsidR="002B664D" w:rsidRPr="002B664D">
        <w:rPr>
          <w:bCs/>
        </w:rPr>
        <w:t xml:space="preserve">na następującą: </w:t>
      </w:r>
      <w:r w:rsidRPr="002B664D">
        <w:rPr>
          <w:bCs/>
        </w:rPr>
        <w:t>„W</w:t>
      </w:r>
      <w:r w:rsidR="002B664D" w:rsidRPr="002B664D">
        <w:rPr>
          <w:bCs/>
        </w:rPr>
        <w:t xml:space="preserve"> przypadku braku miejscowego planu zagospodarowania przestrzennego, uwzględnia się faktyczny sposób użytkowania nieruchomości.”</w:t>
      </w:r>
    </w:p>
    <w:p w:rsidR="000D7149" w:rsidRPr="00D64ABE" w:rsidRDefault="001F3826" w:rsidP="00D13E10">
      <w:pPr>
        <w:pStyle w:val="Textbody"/>
        <w:numPr>
          <w:ilvl w:val="1"/>
          <w:numId w:val="5"/>
        </w:numPr>
        <w:spacing w:after="0" w:line="276" w:lineRule="auto"/>
        <w:jc w:val="both"/>
        <w:rPr>
          <w:bCs/>
        </w:rPr>
      </w:pPr>
      <w:r w:rsidRPr="002B664D">
        <w:rPr>
          <w:bCs/>
        </w:rPr>
        <w:t>wykreślenie ust.</w:t>
      </w:r>
      <w:r w:rsidR="00881B31" w:rsidRPr="002B664D">
        <w:rPr>
          <w:bCs/>
        </w:rPr>
        <w:t xml:space="preserve"> 3</w:t>
      </w:r>
      <w:r w:rsidRPr="002B664D">
        <w:rPr>
          <w:bCs/>
        </w:rPr>
        <w:t xml:space="preserve"> tegoż art</w:t>
      </w:r>
      <w:r w:rsidR="00A26F49">
        <w:rPr>
          <w:bCs/>
        </w:rPr>
        <w:t>ykułu</w:t>
      </w:r>
      <w:r w:rsidR="00881B31" w:rsidRPr="002B664D">
        <w:rPr>
          <w:bCs/>
        </w:rPr>
        <w:t>.</w:t>
      </w:r>
    </w:p>
    <w:sectPr w:rsidR="000D7149" w:rsidRPr="00D64AB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5D" w:rsidRDefault="002B664D">
      <w:r>
        <w:separator/>
      </w:r>
    </w:p>
  </w:endnote>
  <w:endnote w:type="continuationSeparator" w:id="0">
    <w:p w:rsidR="00412B5D" w:rsidRDefault="002B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51207"/>
      <w:docPartObj>
        <w:docPartGallery w:val="Page Numbers (Bottom of Page)"/>
        <w:docPartUnique/>
      </w:docPartObj>
    </w:sdtPr>
    <w:sdtEndPr/>
    <w:sdtContent>
      <w:p w:rsidR="0030179A" w:rsidRPr="00D13E10" w:rsidRDefault="0030179A" w:rsidP="00D13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A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5D" w:rsidRDefault="002B664D">
      <w:r>
        <w:rPr>
          <w:color w:val="000000"/>
        </w:rPr>
        <w:ptab w:relativeTo="margin" w:alignment="center" w:leader="none"/>
      </w:r>
    </w:p>
  </w:footnote>
  <w:footnote w:type="continuationSeparator" w:id="0">
    <w:p w:rsidR="00412B5D" w:rsidRDefault="002B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C62"/>
    <w:multiLevelType w:val="hybridMultilevel"/>
    <w:tmpl w:val="23F4C6AA"/>
    <w:lvl w:ilvl="0" w:tplc="B3E4C5DC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4B257F4"/>
    <w:multiLevelType w:val="multilevel"/>
    <w:tmpl w:val="DD4A0C62"/>
    <w:lvl w:ilvl="0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2">
    <w:nsid w:val="3F777354"/>
    <w:multiLevelType w:val="multilevel"/>
    <w:tmpl w:val="53347BB2"/>
    <w:lvl w:ilvl="0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➢"/>
      <w:lvlJc w:val="left"/>
      <w:rPr>
        <w:rFonts w:ascii="OpenSymbol" w:eastAsia="OpenSymbol" w:hAnsi="OpenSymbol" w:cs="OpenSymbol"/>
        <w:color w:val="000000"/>
      </w:rPr>
    </w:lvl>
  </w:abstractNum>
  <w:abstractNum w:abstractNumId="3">
    <w:nsid w:val="4C906D90"/>
    <w:multiLevelType w:val="multilevel"/>
    <w:tmpl w:val="F6EEB948"/>
    <w:lvl w:ilvl="0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➢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➢"/>
      <w:lvlJc w:val="left"/>
      <w:rPr>
        <w:rFonts w:ascii="OpenSymbol" w:eastAsia="OpenSymbol" w:hAnsi="OpenSymbol" w:cs="OpenSymbol"/>
        <w:color w:val="000000"/>
      </w:rPr>
    </w:lvl>
  </w:abstractNum>
  <w:abstractNum w:abstractNumId="4">
    <w:nsid w:val="683C170F"/>
    <w:multiLevelType w:val="hybridMultilevel"/>
    <w:tmpl w:val="A45C0F22"/>
    <w:lvl w:ilvl="0" w:tplc="3C8A063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149"/>
    <w:rsid w:val="000D7149"/>
    <w:rsid w:val="001F3826"/>
    <w:rsid w:val="002B664D"/>
    <w:rsid w:val="0030179A"/>
    <w:rsid w:val="00326EA1"/>
    <w:rsid w:val="003B0DFE"/>
    <w:rsid w:val="003F32EB"/>
    <w:rsid w:val="00412B5D"/>
    <w:rsid w:val="00436D21"/>
    <w:rsid w:val="00881B31"/>
    <w:rsid w:val="008A54DC"/>
    <w:rsid w:val="00A26F49"/>
    <w:rsid w:val="00D13E10"/>
    <w:rsid w:val="00D64ABE"/>
    <w:rsid w:val="00D75C9E"/>
    <w:rsid w:val="00E31239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paragraph" w:customStyle="1" w:styleId="Default">
    <w:name w:val="Default"/>
    <w:rsid w:val="008A54DC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C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C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79A"/>
  </w:style>
  <w:style w:type="paragraph" w:styleId="Stopka">
    <w:name w:val="footer"/>
    <w:basedOn w:val="Normalny"/>
    <w:link w:val="StopkaZnak"/>
    <w:uiPriority w:val="99"/>
    <w:unhideWhenUsed/>
    <w:rsid w:val="0030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paragraph" w:customStyle="1" w:styleId="Default">
    <w:name w:val="Default"/>
    <w:rsid w:val="008A54DC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C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C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C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79A"/>
  </w:style>
  <w:style w:type="paragraph" w:styleId="Stopka">
    <w:name w:val="footer"/>
    <w:basedOn w:val="Normalny"/>
    <w:link w:val="StopkaZnak"/>
    <w:uiPriority w:val="99"/>
    <w:unhideWhenUsed/>
    <w:rsid w:val="0030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Lebek</dc:creator>
  <cp:lastModifiedBy>Iwona Pragnąca</cp:lastModifiedBy>
  <cp:revision>13</cp:revision>
  <cp:lastPrinted>2018-08-31T09:54:00Z</cp:lastPrinted>
  <dcterms:created xsi:type="dcterms:W3CDTF">2009-04-16T11:32:00Z</dcterms:created>
  <dcterms:modified xsi:type="dcterms:W3CDTF">2018-09-17T10:49:00Z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