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AD9" w14:textId="35D0A371" w:rsidR="00685419" w:rsidRDefault="00685419" w:rsidP="00AE35EA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iCs/>
          <w:kern w:val="32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AF840" wp14:editId="6DF20921">
            <wp:simplePos x="0" y="0"/>
            <wp:positionH relativeFrom="margin">
              <wp:align>left</wp:align>
            </wp:positionH>
            <wp:positionV relativeFrom="page">
              <wp:posOffset>306070</wp:posOffset>
            </wp:positionV>
            <wp:extent cx="57594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05" y="21214"/>
                <wp:lineTo x="21505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F7FF66" w14:textId="6384624D" w:rsidR="00DF55B1" w:rsidRPr="00DF55B1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Stanowisko</w:t>
      </w:r>
    </w:p>
    <w:p w14:paraId="450DA72C" w14:textId="77777777" w:rsidR="00DF55B1" w:rsidRPr="00DF55B1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Zarządu Śląskiego Związku Gmin i Powiatów</w:t>
      </w:r>
    </w:p>
    <w:p w14:paraId="37D328E4" w14:textId="395E7A4C" w:rsidR="00DF55B1" w:rsidRPr="00DF55B1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z dnia </w:t>
      </w:r>
      <w:r w:rsidR="003A6795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11</w:t>
      </w:r>
      <w:r w:rsidR="004E5448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3A6795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października</w:t>
      </w:r>
      <w:r w:rsidR="004E5448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2022 r. </w:t>
      </w:r>
    </w:p>
    <w:p w14:paraId="0D23179D" w14:textId="6C847754" w:rsidR="006E1854" w:rsidRDefault="006E1854" w:rsidP="005777B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0E2B0E7" w14:textId="77777777" w:rsidR="00685419" w:rsidRPr="00DF55B1" w:rsidRDefault="00685419" w:rsidP="005777B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547429D" w14:textId="3F2C589D" w:rsidR="00DC3B2E" w:rsidRPr="00ED5B43" w:rsidRDefault="00DF55B1" w:rsidP="007D6900">
      <w:pPr>
        <w:spacing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5B1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DF5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6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rozpoczętej prewencyjnej akcji jodowej w związku z możliwym wystąpieniem zagrożeni</w:t>
      </w:r>
      <w:r w:rsidR="00AB7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skażeniem</w:t>
      </w:r>
      <w:r w:rsidR="007D6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radiacyjn</w:t>
      </w:r>
      <w:r w:rsidR="00AB7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ym</w:t>
      </w:r>
    </w:p>
    <w:p w14:paraId="60884D8F" w14:textId="77777777" w:rsidR="007D6900" w:rsidRDefault="007D6900" w:rsidP="00926AE4">
      <w:pPr>
        <w:pStyle w:val="Akapitzlist"/>
        <w:tabs>
          <w:tab w:val="left" w:pos="0"/>
        </w:tabs>
        <w:spacing w:after="120" w:line="320" w:lineRule="exact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DA122B" w14:textId="026A10B1" w:rsidR="00BD359E" w:rsidRDefault="004E5448" w:rsidP="00A615B1">
      <w:pPr>
        <w:pStyle w:val="Akapitzlist"/>
        <w:tabs>
          <w:tab w:val="left" w:pos="0"/>
        </w:tabs>
        <w:spacing w:after="120" w:line="32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związku z </w:t>
      </w:r>
      <w:r w:rsidR="0080669E">
        <w:rPr>
          <w:rFonts w:ascii="Times New Roman" w:hAnsi="Times New Roman"/>
          <w:sz w:val="24"/>
          <w:szCs w:val="24"/>
          <w:lang w:eastAsia="pl-PL"/>
        </w:rPr>
        <w:t xml:space="preserve">rozpoczętą prewencyjną dystrybucją jodku potasu do powiatowych jednostek Państwowej Straży Pożarnej oraz </w:t>
      </w:r>
      <w:r w:rsidR="00A61344">
        <w:rPr>
          <w:rFonts w:ascii="Times New Roman" w:hAnsi="Times New Roman"/>
          <w:sz w:val="24"/>
          <w:szCs w:val="24"/>
          <w:lang w:eastAsia="pl-PL"/>
        </w:rPr>
        <w:t xml:space="preserve">aktualizacją </w:t>
      </w:r>
      <w:r w:rsidR="000A41B0">
        <w:rPr>
          <w:rFonts w:ascii="Times New Roman" w:hAnsi="Times New Roman"/>
          <w:sz w:val="24"/>
          <w:szCs w:val="24"/>
          <w:lang w:eastAsia="pl-PL"/>
        </w:rPr>
        <w:t>w</w:t>
      </w:r>
      <w:r w:rsidR="00A61344">
        <w:rPr>
          <w:rFonts w:ascii="Times New Roman" w:hAnsi="Times New Roman"/>
          <w:sz w:val="24"/>
          <w:szCs w:val="24"/>
          <w:lang w:eastAsia="pl-PL"/>
        </w:rPr>
        <w:t xml:space="preserve">ojewódzkiego planu akcji jodowej, Zarząd Śląskiego Związku Gmin i Powiatów przedstawia następujące uwagi i spostrzeżenia. </w:t>
      </w:r>
    </w:p>
    <w:p w14:paraId="55401358" w14:textId="1FAE6C3F" w:rsidR="00A61344" w:rsidRDefault="00A61344" w:rsidP="00C31912">
      <w:pPr>
        <w:pStyle w:val="Akapitzlist"/>
        <w:numPr>
          <w:ilvl w:val="0"/>
          <w:numId w:val="8"/>
        </w:numPr>
        <w:tabs>
          <w:tab w:val="left" w:pos="426"/>
        </w:tabs>
        <w:spacing w:after="120" w:line="3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344">
        <w:rPr>
          <w:rFonts w:ascii="Times New Roman" w:hAnsi="Times New Roman"/>
          <w:sz w:val="24"/>
          <w:szCs w:val="24"/>
          <w:lang w:eastAsia="pl-PL"/>
        </w:rPr>
        <w:t>Istotną kwestią jest b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rak spójności pomiędzy rekomendacjami Ministra Zdrowia z</w:t>
      </w:r>
      <w:r w:rsidR="00B15457">
        <w:rPr>
          <w:rFonts w:ascii="Times New Roman" w:hAnsi="Times New Roman"/>
          <w:sz w:val="24"/>
          <w:szCs w:val="24"/>
          <w:lang w:eastAsia="pl-PL"/>
        </w:rPr>
        <w:t> 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2</w:t>
      </w:r>
      <w:r w:rsidR="00B15457">
        <w:rPr>
          <w:rFonts w:ascii="Times New Roman" w:hAnsi="Times New Roman"/>
          <w:sz w:val="24"/>
          <w:szCs w:val="24"/>
          <w:lang w:eastAsia="pl-PL"/>
        </w:rPr>
        <w:t> 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marca 2022 r.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a aktualnym Planem akcji jodowej </w:t>
      </w:r>
      <w:r w:rsidR="00226681">
        <w:rPr>
          <w:rFonts w:ascii="Times New Roman" w:hAnsi="Times New Roman"/>
          <w:sz w:val="24"/>
          <w:szCs w:val="24"/>
          <w:lang w:eastAsia="pl-PL"/>
        </w:rPr>
        <w:t>w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ojewództwa </w:t>
      </w:r>
      <w:r w:rsidR="00226681">
        <w:rPr>
          <w:rFonts w:ascii="Times New Roman" w:hAnsi="Times New Roman"/>
          <w:sz w:val="24"/>
          <w:szCs w:val="24"/>
          <w:lang w:eastAsia="pl-PL"/>
        </w:rPr>
        <w:t>ś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ląskiego w kwestii nadzorowania wydawania tabletek jodku potasu.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 Zgodnie z r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ekomendacj</w:t>
      </w:r>
      <w:r w:rsidRPr="00A61344">
        <w:rPr>
          <w:rFonts w:ascii="Times New Roman" w:hAnsi="Times New Roman"/>
          <w:sz w:val="24"/>
          <w:szCs w:val="24"/>
          <w:lang w:eastAsia="pl-PL"/>
        </w:rPr>
        <w:t>ami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Ministra Zdrowia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osoby wyznaczone do wydawania tabletek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w punktach dystrybucji nie musz</w:t>
      </w:r>
      <w:r w:rsidRPr="00A61344">
        <w:rPr>
          <w:rFonts w:ascii="Times New Roman" w:hAnsi="Times New Roman"/>
          <w:sz w:val="24"/>
          <w:szCs w:val="24"/>
          <w:lang w:eastAsia="pl-PL"/>
        </w:rPr>
        <w:t>ą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posiadać szczególnych kwalifikacji zawodowych (osoby niepełnoletnie powinny przyjąć produkt pod nadzorem rodzica/opiekuna lub osoby wykonującej zawód medyczny)</w:t>
      </w:r>
      <w:r w:rsidRPr="00A61344">
        <w:rPr>
          <w:rFonts w:ascii="Times New Roman" w:hAnsi="Times New Roman"/>
          <w:sz w:val="24"/>
          <w:szCs w:val="24"/>
          <w:lang w:eastAsia="pl-PL"/>
        </w:rPr>
        <w:t>. Tymczasem w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ojewódzki plan akcji jodowej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 przewiduje, ż</w:t>
      </w:r>
      <w:r w:rsidR="00216E05">
        <w:rPr>
          <w:rFonts w:ascii="Times New Roman" w:hAnsi="Times New Roman"/>
          <w:sz w:val="24"/>
          <w:szCs w:val="24"/>
          <w:lang w:eastAsia="pl-PL"/>
        </w:rPr>
        <w:t>e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bezpośrednie wydawanie preparatów jodowych powinien nadzorować pracownik ochrony zdrowia (np. lekarz, farmaceuta, pielęgniarka, ratownik medyczny)</w:t>
      </w:r>
      <w:r w:rsidRPr="00A61344">
        <w:rPr>
          <w:rFonts w:ascii="Times New Roman" w:hAnsi="Times New Roman"/>
          <w:sz w:val="24"/>
          <w:szCs w:val="24"/>
          <w:lang w:eastAsia="pl-PL"/>
        </w:rPr>
        <w:t xml:space="preserve">. Podobne 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zalecenia wyda</w:t>
      </w:r>
      <w:r w:rsidR="00685419">
        <w:rPr>
          <w:rFonts w:ascii="Times New Roman" w:hAnsi="Times New Roman"/>
          <w:sz w:val="24"/>
          <w:szCs w:val="24"/>
          <w:lang w:eastAsia="pl-PL"/>
        </w:rPr>
        <w:t>li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również </w:t>
      </w:r>
      <w:r w:rsidR="00685419">
        <w:rPr>
          <w:rFonts w:ascii="Times New Roman" w:hAnsi="Times New Roman"/>
          <w:sz w:val="24"/>
          <w:szCs w:val="24"/>
          <w:lang w:eastAsia="pl-PL"/>
        </w:rPr>
        <w:t xml:space="preserve">niektórzy 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>Państwow</w:t>
      </w:r>
      <w:r w:rsidR="00685419">
        <w:rPr>
          <w:rFonts w:ascii="Times New Roman" w:hAnsi="Times New Roman"/>
          <w:sz w:val="24"/>
          <w:szCs w:val="24"/>
          <w:lang w:eastAsia="pl-PL"/>
        </w:rPr>
        <w:t>i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Powiatow</w:t>
      </w:r>
      <w:r w:rsidR="00685419">
        <w:rPr>
          <w:rFonts w:ascii="Times New Roman" w:hAnsi="Times New Roman"/>
          <w:sz w:val="24"/>
          <w:szCs w:val="24"/>
          <w:lang w:eastAsia="pl-PL"/>
        </w:rPr>
        <w:t>i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Inspektor</w:t>
      </w:r>
      <w:r w:rsidR="00685419">
        <w:rPr>
          <w:rFonts w:ascii="Times New Roman" w:hAnsi="Times New Roman"/>
          <w:sz w:val="24"/>
          <w:szCs w:val="24"/>
          <w:lang w:eastAsia="pl-PL"/>
        </w:rPr>
        <w:t>zy</w:t>
      </w:r>
      <w:r w:rsidR="0080669E" w:rsidRPr="00A61344">
        <w:rPr>
          <w:rFonts w:ascii="Times New Roman" w:hAnsi="Times New Roman"/>
          <w:sz w:val="24"/>
          <w:szCs w:val="24"/>
          <w:lang w:eastAsia="pl-PL"/>
        </w:rPr>
        <w:t xml:space="preserve"> Sanitarn</w:t>
      </w:r>
      <w:r w:rsidR="00685419">
        <w:rPr>
          <w:rFonts w:ascii="Times New Roman" w:hAnsi="Times New Roman"/>
          <w:sz w:val="24"/>
          <w:szCs w:val="24"/>
          <w:lang w:eastAsia="pl-PL"/>
        </w:rPr>
        <w:t>i.</w:t>
      </w:r>
    </w:p>
    <w:p w14:paraId="15303D62" w14:textId="77777777" w:rsidR="00ED2B0E" w:rsidRDefault="00A61344" w:rsidP="00C31912">
      <w:pPr>
        <w:pStyle w:val="Akapitzlist"/>
        <w:numPr>
          <w:ilvl w:val="0"/>
          <w:numId w:val="8"/>
        </w:numPr>
        <w:tabs>
          <w:tab w:val="left" w:pos="426"/>
        </w:tabs>
        <w:spacing w:after="120" w:line="3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2B0E">
        <w:rPr>
          <w:rFonts w:ascii="Times New Roman" w:hAnsi="Times New Roman"/>
          <w:sz w:val="24"/>
          <w:szCs w:val="24"/>
          <w:lang w:eastAsia="pl-PL"/>
        </w:rPr>
        <w:t>Kolejną kwestią jest b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rak jasnych komunikatów gdzie ma być przyjmowana tabletka</w:t>
      </w:r>
      <w:r w:rsidRPr="00ED2B0E">
        <w:rPr>
          <w:rFonts w:ascii="Times New Roman" w:hAnsi="Times New Roman"/>
          <w:sz w:val="24"/>
          <w:szCs w:val="24"/>
          <w:lang w:eastAsia="pl-PL"/>
        </w:rPr>
        <w:t xml:space="preserve">. Czy może być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wydawana do domu</w:t>
      </w:r>
      <w:r w:rsidRPr="00ED2B0E">
        <w:rPr>
          <w:rFonts w:ascii="Times New Roman" w:hAnsi="Times New Roman"/>
          <w:sz w:val="24"/>
          <w:szCs w:val="24"/>
          <w:lang w:eastAsia="pl-PL"/>
        </w:rPr>
        <w:t>,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 xml:space="preserve"> czy</w:t>
      </w:r>
      <w:r w:rsidRPr="00ED2B0E">
        <w:rPr>
          <w:rFonts w:ascii="Times New Roman" w:hAnsi="Times New Roman"/>
          <w:sz w:val="24"/>
          <w:szCs w:val="24"/>
          <w:lang w:eastAsia="pl-PL"/>
        </w:rPr>
        <w:t xml:space="preserve"> musi być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 xml:space="preserve"> przyjmowana na miejscu</w:t>
      </w:r>
      <w:r w:rsidRPr="00ED2B0E">
        <w:rPr>
          <w:rFonts w:ascii="Times New Roman" w:hAnsi="Times New Roman"/>
          <w:sz w:val="24"/>
          <w:szCs w:val="24"/>
          <w:lang w:eastAsia="pl-PL"/>
        </w:rPr>
        <w:t>?</w:t>
      </w:r>
    </w:p>
    <w:p w14:paraId="08A6DA5F" w14:textId="77777777" w:rsidR="00ED2B0E" w:rsidRDefault="00ED2B0E" w:rsidP="00C31912">
      <w:pPr>
        <w:pStyle w:val="Akapitzlist"/>
        <w:numPr>
          <w:ilvl w:val="0"/>
          <w:numId w:val="8"/>
        </w:numPr>
        <w:tabs>
          <w:tab w:val="left" w:pos="426"/>
        </w:tabs>
        <w:spacing w:after="120" w:line="3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2B0E">
        <w:rPr>
          <w:rFonts w:ascii="Times New Roman" w:hAnsi="Times New Roman"/>
          <w:sz w:val="24"/>
          <w:szCs w:val="24"/>
          <w:lang w:eastAsia="pl-PL"/>
        </w:rPr>
        <w:t>Wyjaśnienia wymaga w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 xml:space="preserve"> jaki sposób tabletki trafią do osób przebywających w</w:t>
      </w:r>
      <w:r w:rsidRPr="00ED2B0E">
        <w:rPr>
          <w:rFonts w:ascii="Times New Roman" w:hAnsi="Times New Roman"/>
          <w:sz w:val="24"/>
          <w:szCs w:val="24"/>
          <w:lang w:eastAsia="pl-PL"/>
        </w:rPr>
        <w:t> 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szpitalach, zakładach opiekuńczo-leczniczych, areszcie śledczym?</w:t>
      </w:r>
    </w:p>
    <w:p w14:paraId="26506E0D" w14:textId="77777777" w:rsidR="00ED2B0E" w:rsidRDefault="0080669E" w:rsidP="00C31912">
      <w:pPr>
        <w:pStyle w:val="Akapitzlist"/>
        <w:numPr>
          <w:ilvl w:val="0"/>
          <w:numId w:val="8"/>
        </w:numPr>
        <w:tabs>
          <w:tab w:val="left" w:pos="426"/>
        </w:tabs>
        <w:spacing w:after="120" w:line="3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2B0E">
        <w:rPr>
          <w:rFonts w:ascii="Times New Roman" w:hAnsi="Times New Roman"/>
          <w:sz w:val="24"/>
          <w:szCs w:val="24"/>
          <w:lang w:eastAsia="pl-PL"/>
        </w:rPr>
        <w:t>Czy osoby zaangażowane w akcje ratownicze, pomoc medyczną i przedmedyczną, usunięcie lub zabezpieczenie źródła skażenia oraz zabezpieczenie skażonego terenu  otrzymają tabletkę z innego źródła?</w:t>
      </w:r>
    </w:p>
    <w:p w14:paraId="3DA65190" w14:textId="2C0E2BBC" w:rsidR="00ED2B0E" w:rsidRDefault="00ED2B0E" w:rsidP="00C31912">
      <w:pPr>
        <w:pStyle w:val="Akapitzlist"/>
        <w:numPr>
          <w:ilvl w:val="0"/>
          <w:numId w:val="8"/>
        </w:numPr>
        <w:tabs>
          <w:tab w:val="left" w:pos="426"/>
        </w:tabs>
        <w:spacing w:after="120" w:line="3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2B0E">
        <w:rPr>
          <w:rFonts w:ascii="Times New Roman" w:hAnsi="Times New Roman"/>
          <w:sz w:val="24"/>
          <w:szCs w:val="24"/>
          <w:lang w:eastAsia="pl-PL"/>
        </w:rPr>
        <w:t>Należy również zwrócić uwagę na fakt b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rak</w:t>
      </w:r>
      <w:r w:rsidRPr="00ED2B0E">
        <w:rPr>
          <w:rFonts w:ascii="Times New Roman" w:hAnsi="Times New Roman"/>
          <w:sz w:val="24"/>
          <w:szCs w:val="24"/>
          <w:lang w:eastAsia="pl-PL"/>
        </w:rPr>
        <w:t>u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 xml:space="preserve"> akcji informacyjnej Ministerstwa Zdrowia i</w:t>
      </w:r>
      <w:r w:rsidR="000E2A22">
        <w:rPr>
          <w:rFonts w:ascii="Times New Roman" w:hAnsi="Times New Roman"/>
          <w:sz w:val="24"/>
          <w:szCs w:val="24"/>
          <w:lang w:eastAsia="pl-PL"/>
        </w:rPr>
        <w:t> 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M</w:t>
      </w:r>
      <w:r w:rsidR="00596B65">
        <w:rPr>
          <w:rFonts w:ascii="Times New Roman" w:hAnsi="Times New Roman"/>
          <w:sz w:val="24"/>
          <w:szCs w:val="24"/>
          <w:lang w:eastAsia="pl-PL"/>
        </w:rPr>
        <w:t xml:space="preserve">inisterstwa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S</w:t>
      </w:r>
      <w:r w:rsidR="00596B65">
        <w:rPr>
          <w:rFonts w:ascii="Times New Roman" w:hAnsi="Times New Roman"/>
          <w:sz w:val="24"/>
          <w:szCs w:val="24"/>
          <w:lang w:eastAsia="pl-PL"/>
        </w:rPr>
        <w:t xml:space="preserve">praw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W</w:t>
      </w:r>
      <w:r w:rsidR="00596B65">
        <w:rPr>
          <w:rFonts w:ascii="Times New Roman" w:hAnsi="Times New Roman"/>
          <w:sz w:val="24"/>
          <w:szCs w:val="24"/>
          <w:lang w:eastAsia="pl-PL"/>
        </w:rPr>
        <w:t xml:space="preserve">ewnętrznych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i</w:t>
      </w:r>
      <w:r w:rsidR="00596B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A</w:t>
      </w:r>
      <w:r w:rsidR="00596B65">
        <w:rPr>
          <w:rFonts w:ascii="Times New Roman" w:hAnsi="Times New Roman"/>
          <w:sz w:val="24"/>
          <w:szCs w:val="24"/>
          <w:lang w:eastAsia="pl-PL"/>
        </w:rPr>
        <w:t>dministracji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 xml:space="preserve"> dotyczących przyjęcia tabletki przez osoby spoza grup ryzyka, a także osoby z</w:t>
      </w:r>
      <w:r w:rsidRPr="00ED2B0E">
        <w:rPr>
          <w:rFonts w:ascii="Times New Roman" w:hAnsi="Times New Roman"/>
          <w:sz w:val="24"/>
          <w:szCs w:val="24"/>
          <w:lang w:eastAsia="pl-PL"/>
        </w:rPr>
        <w:t> 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wątpliwościami lub przeciwwskazaniami (np. osoby chorujące przewlekle). Kto i na jakiej podstawie oceni ewentualne przeciwwskazania i wyjaśni wątpliwości w chwili uruchomienia akcji jodowej? Wydaje się zasadne informowanie społeczeństwa z wyprzedzeniem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669E" w:rsidRPr="00ED2B0E">
        <w:rPr>
          <w:rFonts w:ascii="Times New Roman" w:hAnsi="Times New Roman"/>
          <w:sz w:val="24"/>
          <w:szCs w:val="24"/>
          <w:lang w:eastAsia="pl-PL"/>
        </w:rPr>
        <w:t>o zasadach kwalifikowania do zażycia tabletki, grupach ryzyka, przeciwwskazaniach itd.</w:t>
      </w:r>
    </w:p>
    <w:p w14:paraId="36B09819" w14:textId="77777777" w:rsidR="00685419" w:rsidRDefault="00685419" w:rsidP="00685419">
      <w:pPr>
        <w:pStyle w:val="Akapitzlist"/>
        <w:tabs>
          <w:tab w:val="left" w:pos="426"/>
        </w:tabs>
        <w:spacing w:after="120" w:line="32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C6D8B7" w14:textId="7BFEAA43" w:rsidR="00ED2B0E" w:rsidRDefault="00ED2B0E" w:rsidP="00A615B1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Zarząd Śląskiego Związku Gmin i Powiatów jest świadomy,</w:t>
      </w:r>
      <w:r w:rsidR="002514C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="002514CF">
        <w:rPr>
          <w:rFonts w:ascii="Times New Roman" w:hAnsi="Times New Roman"/>
          <w:sz w:val="24"/>
          <w:szCs w:val="24"/>
          <w:lang w:eastAsia="pl-PL"/>
        </w:rPr>
        <w:t>e rozpoczęta</w:t>
      </w:r>
      <w:r w:rsidR="00216E05">
        <w:rPr>
          <w:rFonts w:ascii="Times New Roman" w:hAnsi="Times New Roman"/>
          <w:sz w:val="24"/>
          <w:szCs w:val="24"/>
          <w:lang w:eastAsia="pl-PL"/>
        </w:rPr>
        <w:t>,</w:t>
      </w:r>
      <w:r w:rsidR="002514CF">
        <w:rPr>
          <w:rFonts w:ascii="Times New Roman" w:hAnsi="Times New Roman"/>
          <w:sz w:val="24"/>
          <w:szCs w:val="24"/>
          <w:lang w:eastAsia="pl-PL"/>
        </w:rPr>
        <w:t xml:space="preserve"> prewencyjna dystrybucja to </w:t>
      </w:r>
      <w:r w:rsidR="002514CF" w:rsidRPr="002514CF">
        <w:rPr>
          <w:rFonts w:ascii="Times New Roman" w:hAnsi="Times New Roman"/>
          <w:sz w:val="24"/>
          <w:szCs w:val="24"/>
          <w:lang w:eastAsia="pl-PL"/>
        </w:rPr>
        <w:t>działania rutynowe i przewidziane w przepisach prawa na wypadek ewentualnego wystąpienia skażenia radiacyjnego</w:t>
      </w:r>
      <w:r w:rsidR="002514CF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2514CF" w:rsidRPr="002514CF">
        <w:rPr>
          <w:rFonts w:ascii="Times New Roman" w:hAnsi="Times New Roman"/>
          <w:sz w:val="24"/>
          <w:szCs w:val="24"/>
          <w:lang w:eastAsia="pl-PL"/>
        </w:rPr>
        <w:t>służ</w:t>
      </w:r>
      <w:r w:rsidR="00216E05">
        <w:rPr>
          <w:rFonts w:ascii="Times New Roman" w:hAnsi="Times New Roman"/>
          <w:sz w:val="24"/>
          <w:szCs w:val="24"/>
          <w:lang w:eastAsia="pl-PL"/>
        </w:rPr>
        <w:t>y</w:t>
      </w:r>
      <w:r w:rsidR="002514CF" w:rsidRPr="002514CF">
        <w:rPr>
          <w:rFonts w:ascii="Times New Roman" w:hAnsi="Times New Roman"/>
          <w:sz w:val="24"/>
          <w:szCs w:val="24"/>
          <w:lang w:eastAsia="pl-PL"/>
        </w:rPr>
        <w:t xml:space="preserve"> zapewnieniu bezpieczeństwa obywatelom naszego kraju.</w:t>
      </w:r>
      <w:r w:rsidR="00216E05">
        <w:rPr>
          <w:rFonts w:ascii="Times New Roman" w:hAnsi="Times New Roman"/>
          <w:sz w:val="24"/>
          <w:szCs w:val="24"/>
          <w:lang w:eastAsia="pl-PL"/>
        </w:rPr>
        <w:t xml:space="preserve"> Sformułowanie powyższych wątpliwości nastąpiło w wyniku analizy obecnych uwarunkowań oraz możliwości jednostek samorządu terytorialnego, a także ram prawnych określonych przez ministerstwo i wojewodę. Ma jednak ten sam cel – zapewnienie jak najsprawniejszej dystrybucji jodku potasu, a tym samym bezpieczeństwa mieszkańców naszych miast.</w:t>
      </w:r>
    </w:p>
    <w:p w14:paraId="73D6BBFB" w14:textId="417C8352" w:rsidR="00216E05" w:rsidRDefault="00216E05" w:rsidP="00A615B1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pierwszy plan wysuwa się tu kwestia odpowiedniego informowania społeczeństwa o</w:t>
      </w:r>
      <w:r w:rsidR="00B15457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ewentualnych zagrożeniach i akcja edukacyjna mająca na celu zapoznanie obywateli ze</w:t>
      </w:r>
      <w:r w:rsidR="00B15457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sposobami przyjmowania tabletki, odpowiednim dawkowaniem i możliwymi przeciwskazaniami. Odpowiednio prowadzona akcja informacyjno-edukacyjna </w:t>
      </w:r>
      <w:r w:rsidR="001053F9">
        <w:rPr>
          <w:rFonts w:ascii="Times New Roman" w:hAnsi="Times New Roman"/>
          <w:sz w:val="24"/>
          <w:szCs w:val="24"/>
          <w:lang w:eastAsia="pl-PL"/>
        </w:rPr>
        <w:t>pozwoliłaby nie tylko uspokoić naszych mieszkańców, ale przede wszystkim przygotować ich na moment, w którym uruchomienie akcji będzie konieczne. Prowadzi to do kolejnej konkluzji i zadania pytania, czy nie byłoby możliwe, a nawet wskazane, żeby rozpocząć dystrybucję tabletek wśród mieszkańców wcześniej? Obywatele wyposażeni w odpowiednią wiedzę na temat preparatu oczekiwaliby jedynie na sygnał władz o konieczności przyjęcia tabletki. Tym sposobem znacząco usprawnilibyśmy i przyspieszylibyśmy całą akcję, co przy zagrożeniu jakim jest skażenie radi</w:t>
      </w:r>
      <w:r w:rsidR="00BB4D10">
        <w:rPr>
          <w:rFonts w:ascii="Times New Roman" w:hAnsi="Times New Roman"/>
          <w:sz w:val="24"/>
          <w:szCs w:val="24"/>
          <w:lang w:eastAsia="pl-PL"/>
        </w:rPr>
        <w:t>acyjne</w:t>
      </w:r>
      <w:r w:rsidR="001053F9">
        <w:rPr>
          <w:rFonts w:ascii="Times New Roman" w:hAnsi="Times New Roman"/>
          <w:sz w:val="24"/>
          <w:szCs w:val="24"/>
          <w:lang w:eastAsia="pl-PL"/>
        </w:rPr>
        <w:t xml:space="preserve"> ma niebagatelne znaczenie.</w:t>
      </w:r>
    </w:p>
    <w:p w14:paraId="1D831679" w14:textId="0456AC6F" w:rsidR="001053F9" w:rsidRPr="00685419" w:rsidRDefault="001053F9" w:rsidP="0078025D">
      <w:pPr>
        <w:spacing w:after="120" w:line="320" w:lineRule="exact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Wobec powyższego Zarząd Śląskiego Związku Gmin i Powiatów apeluje o wzięcie pod rozwagę powyższych uwag i zastrzeżeń</w:t>
      </w:r>
      <w:r w:rsidR="007802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13431" w:rsidRPr="00685419">
        <w:rPr>
          <w:rFonts w:ascii="Times New Roman" w:hAnsi="Times New Roman"/>
          <w:sz w:val="24"/>
          <w:szCs w:val="24"/>
          <w:lang w:eastAsia="pl-PL"/>
        </w:rPr>
        <w:t>oraz</w:t>
      </w:r>
      <w:r w:rsidR="0078025D" w:rsidRPr="00685419">
        <w:rPr>
          <w:rFonts w:ascii="Times New Roman" w:hAnsi="Times New Roman"/>
          <w:sz w:val="24"/>
          <w:szCs w:val="24"/>
          <w:lang w:eastAsia="pl-PL"/>
        </w:rPr>
        <w:t xml:space="preserve"> prosi o udzielenie odpowiedzi ustosunkowującej się do zgłoszonych spraw</w:t>
      </w:r>
      <w:r w:rsidRPr="00685419">
        <w:rPr>
          <w:rFonts w:ascii="Times New Roman" w:hAnsi="Times New Roman"/>
          <w:sz w:val="24"/>
          <w:szCs w:val="24"/>
          <w:lang w:eastAsia="pl-PL"/>
        </w:rPr>
        <w:t>.</w:t>
      </w:r>
    </w:p>
    <w:p w14:paraId="2484CC57" w14:textId="5B0EE8E8" w:rsidR="002B6D67" w:rsidRDefault="002B6D67" w:rsidP="002B6D67">
      <w:pPr>
        <w:spacing w:after="120" w:line="320" w:lineRule="exact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</w:p>
    <w:sectPr w:rsidR="002B6D67" w:rsidSect="00685419">
      <w:footerReference w:type="default" r:id="rId8"/>
      <w:pgSz w:w="11906" w:h="16838"/>
      <w:pgMar w:top="992" w:right="1418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0B68" w14:textId="77777777" w:rsidR="008C4757" w:rsidRDefault="008C4757" w:rsidP="005777B1">
      <w:pPr>
        <w:spacing w:after="0" w:line="240" w:lineRule="auto"/>
      </w:pPr>
      <w:r>
        <w:separator/>
      </w:r>
    </w:p>
  </w:endnote>
  <w:endnote w:type="continuationSeparator" w:id="0">
    <w:p w14:paraId="4176DC9D" w14:textId="77777777" w:rsidR="008C4757" w:rsidRDefault="008C4757" w:rsidP="005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225011"/>
      <w:docPartObj>
        <w:docPartGallery w:val="Page Numbers (Bottom of Page)"/>
        <w:docPartUnique/>
      </w:docPartObj>
    </w:sdtPr>
    <w:sdtEndPr/>
    <w:sdtContent>
      <w:p w14:paraId="012A3D5C" w14:textId="41C811F6" w:rsidR="00C31912" w:rsidRDefault="00C31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3C350" w14:textId="77777777" w:rsidR="005777B1" w:rsidRDefault="0057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CF3E" w14:textId="77777777" w:rsidR="008C4757" w:rsidRDefault="008C4757" w:rsidP="005777B1">
      <w:pPr>
        <w:spacing w:after="0" w:line="240" w:lineRule="auto"/>
      </w:pPr>
      <w:r>
        <w:separator/>
      </w:r>
    </w:p>
  </w:footnote>
  <w:footnote w:type="continuationSeparator" w:id="0">
    <w:p w14:paraId="0B7A392C" w14:textId="77777777" w:rsidR="008C4757" w:rsidRDefault="008C4757" w:rsidP="0057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34B"/>
    <w:multiLevelType w:val="hybridMultilevel"/>
    <w:tmpl w:val="8C6A65EC"/>
    <w:lvl w:ilvl="0" w:tplc="6794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7805"/>
    <w:multiLevelType w:val="hybridMultilevel"/>
    <w:tmpl w:val="F2263A8A"/>
    <w:lvl w:ilvl="0" w:tplc="AAC48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C3A"/>
    <w:multiLevelType w:val="hybridMultilevel"/>
    <w:tmpl w:val="299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5A2B1F"/>
    <w:multiLevelType w:val="hybridMultilevel"/>
    <w:tmpl w:val="4B66F3BA"/>
    <w:lvl w:ilvl="0" w:tplc="AA0E83D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37B44"/>
    <w:multiLevelType w:val="hybridMultilevel"/>
    <w:tmpl w:val="41A2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BA2"/>
    <w:multiLevelType w:val="hybridMultilevel"/>
    <w:tmpl w:val="D870C984"/>
    <w:lvl w:ilvl="0" w:tplc="FF5056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79C7"/>
    <w:multiLevelType w:val="hybridMultilevel"/>
    <w:tmpl w:val="5052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2041144">
    <w:abstractNumId w:val="0"/>
  </w:num>
  <w:num w:numId="2" w16cid:durableId="1531795005">
    <w:abstractNumId w:val="6"/>
  </w:num>
  <w:num w:numId="3" w16cid:durableId="1290236192">
    <w:abstractNumId w:val="3"/>
  </w:num>
  <w:num w:numId="4" w16cid:durableId="415446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761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7965973">
    <w:abstractNumId w:val="1"/>
  </w:num>
  <w:num w:numId="7" w16cid:durableId="1321273764">
    <w:abstractNumId w:val="2"/>
  </w:num>
  <w:num w:numId="8" w16cid:durableId="1856923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3"/>
    <w:rsid w:val="00087FBF"/>
    <w:rsid w:val="00097E66"/>
    <w:rsid w:val="000A41B0"/>
    <w:rsid w:val="000B19ED"/>
    <w:rsid w:val="000E2A22"/>
    <w:rsid w:val="000E500E"/>
    <w:rsid w:val="001053F9"/>
    <w:rsid w:val="00173AC2"/>
    <w:rsid w:val="00181927"/>
    <w:rsid w:val="00196A3C"/>
    <w:rsid w:val="001A06F4"/>
    <w:rsid w:val="001D359C"/>
    <w:rsid w:val="001D3A97"/>
    <w:rsid w:val="001E1400"/>
    <w:rsid w:val="00216268"/>
    <w:rsid w:val="00216E05"/>
    <w:rsid w:val="00222C86"/>
    <w:rsid w:val="00226681"/>
    <w:rsid w:val="002302B4"/>
    <w:rsid w:val="002514CF"/>
    <w:rsid w:val="00271556"/>
    <w:rsid w:val="00273501"/>
    <w:rsid w:val="002752DB"/>
    <w:rsid w:val="002B6D67"/>
    <w:rsid w:val="002D059D"/>
    <w:rsid w:val="002E4DD8"/>
    <w:rsid w:val="002E532C"/>
    <w:rsid w:val="00331988"/>
    <w:rsid w:val="00342594"/>
    <w:rsid w:val="00360DEB"/>
    <w:rsid w:val="003617B5"/>
    <w:rsid w:val="00382B4D"/>
    <w:rsid w:val="003A3248"/>
    <w:rsid w:val="003A6795"/>
    <w:rsid w:val="003B0CB3"/>
    <w:rsid w:val="003C1FE8"/>
    <w:rsid w:val="003C491C"/>
    <w:rsid w:val="003E5926"/>
    <w:rsid w:val="003E66D0"/>
    <w:rsid w:val="003E6FA6"/>
    <w:rsid w:val="00400EE9"/>
    <w:rsid w:val="004222A0"/>
    <w:rsid w:val="00461E28"/>
    <w:rsid w:val="004668FF"/>
    <w:rsid w:val="004819E6"/>
    <w:rsid w:val="00486DED"/>
    <w:rsid w:val="004A0748"/>
    <w:rsid w:val="004E5448"/>
    <w:rsid w:val="005037ED"/>
    <w:rsid w:val="005041C9"/>
    <w:rsid w:val="005246BE"/>
    <w:rsid w:val="00527DE7"/>
    <w:rsid w:val="005602E1"/>
    <w:rsid w:val="005777B1"/>
    <w:rsid w:val="00596B65"/>
    <w:rsid w:val="005C5222"/>
    <w:rsid w:val="005F23EE"/>
    <w:rsid w:val="00610671"/>
    <w:rsid w:val="0061177C"/>
    <w:rsid w:val="0064733B"/>
    <w:rsid w:val="00647D9C"/>
    <w:rsid w:val="00667BFC"/>
    <w:rsid w:val="00685419"/>
    <w:rsid w:val="0069786C"/>
    <w:rsid w:val="006B1C9F"/>
    <w:rsid w:val="006E1854"/>
    <w:rsid w:val="00702D3D"/>
    <w:rsid w:val="00710DC1"/>
    <w:rsid w:val="0078025D"/>
    <w:rsid w:val="007876EE"/>
    <w:rsid w:val="007A30CE"/>
    <w:rsid w:val="007D42DA"/>
    <w:rsid w:val="007D6900"/>
    <w:rsid w:val="007D6EDA"/>
    <w:rsid w:val="007E012B"/>
    <w:rsid w:val="0080669E"/>
    <w:rsid w:val="00843764"/>
    <w:rsid w:val="008767FF"/>
    <w:rsid w:val="00880523"/>
    <w:rsid w:val="008C4757"/>
    <w:rsid w:val="00902B0D"/>
    <w:rsid w:val="00910E48"/>
    <w:rsid w:val="00926AE4"/>
    <w:rsid w:val="009B5D2A"/>
    <w:rsid w:val="009B6231"/>
    <w:rsid w:val="009C7EAF"/>
    <w:rsid w:val="009E711C"/>
    <w:rsid w:val="00A37F01"/>
    <w:rsid w:val="00A46951"/>
    <w:rsid w:val="00A4785F"/>
    <w:rsid w:val="00A61344"/>
    <w:rsid w:val="00A615B1"/>
    <w:rsid w:val="00AB7943"/>
    <w:rsid w:val="00AC2363"/>
    <w:rsid w:val="00AC78E6"/>
    <w:rsid w:val="00AE35EA"/>
    <w:rsid w:val="00B135F0"/>
    <w:rsid w:val="00B15457"/>
    <w:rsid w:val="00B15510"/>
    <w:rsid w:val="00B600FD"/>
    <w:rsid w:val="00B637F5"/>
    <w:rsid w:val="00B77860"/>
    <w:rsid w:val="00BA59BF"/>
    <w:rsid w:val="00BB4D10"/>
    <w:rsid w:val="00BB73FB"/>
    <w:rsid w:val="00BD359E"/>
    <w:rsid w:val="00C042D4"/>
    <w:rsid w:val="00C31912"/>
    <w:rsid w:val="00C35AA2"/>
    <w:rsid w:val="00C649CF"/>
    <w:rsid w:val="00CA74C9"/>
    <w:rsid w:val="00CE680C"/>
    <w:rsid w:val="00D011E6"/>
    <w:rsid w:val="00D01BC7"/>
    <w:rsid w:val="00D0406A"/>
    <w:rsid w:val="00D137F7"/>
    <w:rsid w:val="00D33C39"/>
    <w:rsid w:val="00D46C8A"/>
    <w:rsid w:val="00D91977"/>
    <w:rsid w:val="00DC0B1B"/>
    <w:rsid w:val="00DC3B2E"/>
    <w:rsid w:val="00DE7AFF"/>
    <w:rsid w:val="00DF55B1"/>
    <w:rsid w:val="00E13431"/>
    <w:rsid w:val="00E9715A"/>
    <w:rsid w:val="00ED2B0E"/>
    <w:rsid w:val="00ED5B43"/>
    <w:rsid w:val="00EF08B5"/>
    <w:rsid w:val="00F020B3"/>
    <w:rsid w:val="00F2063C"/>
    <w:rsid w:val="00F40D34"/>
    <w:rsid w:val="00F447BE"/>
    <w:rsid w:val="00F55F28"/>
    <w:rsid w:val="00F610DD"/>
    <w:rsid w:val="00F7738A"/>
    <w:rsid w:val="00FA0AD1"/>
    <w:rsid w:val="00FB271F"/>
    <w:rsid w:val="00FC5562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74E3D7"/>
  <w15:docId w15:val="{769A88A0-C36E-4D5A-BBE7-406995B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51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0406A"/>
  </w:style>
  <w:style w:type="paragraph" w:styleId="NormalnyWeb">
    <w:name w:val="Normal (Web)"/>
    <w:basedOn w:val="Normalny"/>
    <w:uiPriority w:val="99"/>
    <w:semiHidden/>
    <w:unhideWhenUsed/>
    <w:rsid w:val="007E01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A46951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B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87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D1C4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3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mchudzik</dc:creator>
  <cp:lastModifiedBy>Iwona Pragnąca ŚZGiP</cp:lastModifiedBy>
  <cp:revision>17</cp:revision>
  <cp:lastPrinted>2022-10-04T08:09:00Z</cp:lastPrinted>
  <dcterms:created xsi:type="dcterms:W3CDTF">2022-10-03T14:00:00Z</dcterms:created>
  <dcterms:modified xsi:type="dcterms:W3CDTF">2022-10-11T11:01:00Z</dcterms:modified>
</cp:coreProperties>
</file>