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7DEEE" w14:textId="56B7AF36" w:rsidR="003524BB" w:rsidRPr="00C036C6" w:rsidRDefault="00033F9B" w:rsidP="00C036C6">
      <w:pPr>
        <w:jc w:val="center"/>
        <w:rPr>
          <w:rFonts w:ascii="Times New Roman" w:hAnsi="Times New Roman" w:cs="Times New Roman"/>
          <w:i/>
          <w:sz w:val="18"/>
          <w:szCs w:val="18"/>
        </w:rPr>
      </w:pPr>
      <w:r w:rsidRPr="005F1FDE">
        <w:rPr>
          <w:rFonts w:eastAsia="Calibri"/>
          <w:b/>
          <w:bCs/>
          <w:noProof/>
          <w:lang w:eastAsia="pl-PL"/>
        </w:rPr>
        <w:drawing>
          <wp:anchor distT="0" distB="0" distL="114300" distR="114300" simplePos="0" relativeHeight="251659264" behindDoc="0" locked="0" layoutInCell="1" allowOverlap="1" wp14:anchorId="2CDEFDB8" wp14:editId="25CF596E">
            <wp:simplePos x="0" y="0"/>
            <wp:positionH relativeFrom="column">
              <wp:posOffset>-197485</wp:posOffset>
            </wp:positionH>
            <wp:positionV relativeFrom="paragraph">
              <wp:posOffset>-594995</wp:posOffset>
            </wp:positionV>
            <wp:extent cx="6166485" cy="1091565"/>
            <wp:effectExtent l="0" t="0" r="5715" b="0"/>
            <wp:wrapSquare wrapText="bothSides"/>
            <wp:docPr id="1" name="Obraz 1"/>
            <wp:cNvGraphicFramePr/>
            <a:graphic xmlns:a="http://schemas.openxmlformats.org/drawingml/2006/main">
              <a:graphicData uri="http://schemas.openxmlformats.org/drawingml/2006/picture">
                <pic:pic xmlns:pic="http://schemas.openxmlformats.org/drawingml/2006/picture">
                  <pic:nvPicPr>
                    <pic:cNvPr id="1"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66485" cy="1091565"/>
                    </a:xfrm>
                    <a:prstGeom prst="rect">
                      <a:avLst/>
                    </a:prstGeom>
                    <a:noFill/>
                    <a:ln>
                      <a:noFill/>
                      <a:prstDash/>
                    </a:ln>
                  </pic:spPr>
                </pic:pic>
              </a:graphicData>
            </a:graphic>
            <wp14:sizeRelH relativeFrom="margin">
              <wp14:pctWidth>0</wp14:pctWidth>
            </wp14:sizeRelH>
          </wp:anchor>
        </w:drawing>
      </w:r>
      <w:r w:rsidR="003524BB" w:rsidRPr="00EB1A2A">
        <w:rPr>
          <w:rFonts w:ascii="Times New Roman" w:hAnsi="Times New Roman" w:cs="Times New Roman"/>
          <w:b/>
          <w:sz w:val="24"/>
          <w:szCs w:val="24"/>
        </w:rPr>
        <w:t>Stanowisko Zarządu</w:t>
      </w:r>
    </w:p>
    <w:p w14:paraId="7BC02A12" w14:textId="77777777" w:rsidR="003524BB" w:rsidRPr="00EB1A2A" w:rsidRDefault="003524BB" w:rsidP="003524BB">
      <w:pPr>
        <w:jc w:val="center"/>
        <w:rPr>
          <w:rFonts w:ascii="Times New Roman" w:hAnsi="Times New Roman" w:cs="Times New Roman"/>
          <w:b/>
          <w:sz w:val="24"/>
          <w:szCs w:val="24"/>
        </w:rPr>
      </w:pPr>
      <w:r w:rsidRPr="00EB1A2A">
        <w:rPr>
          <w:rFonts w:ascii="Times New Roman" w:hAnsi="Times New Roman" w:cs="Times New Roman"/>
          <w:b/>
          <w:sz w:val="24"/>
          <w:szCs w:val="24"/>
        </w:rPr>
        <w:t>Śląskiego Związku Gmin i Powiatów</w:t>
      </w:r>
    </w:p>
    <w:p w14:paraId="161AFE09" w14:textId="71079DC9" w:rsidR="006320A4" w:rsidRPr="00EB1A2A" w:rsidRDefault="00403EF8" w:rsidP="003524BB">
      <w:pPr>
        <w:jc w:val="center"/>
        <w:rPr>
          <w:rFonts w:ascii="Times New Roman" w:hAnsi="Times New Roman" w:cs="Times New Roman"/>
          <w:b/>
          <w:sz w:val="24"/>
          <w:szCs w:val="24"/>
        </w:rPr>
      </w:pPr>
      <w:r w:rsidRPr="00EB1A2A">
        <w:rPr>
          <w:rFonts w:ascii="Times New Roman" w:hAnsi="Times New Roman" w:cs="Times New Roman"/>
          <w:b/>
          <w:sz w:val="24"/>
          <w:szCs w:val="24"/>
        </w:rPr>
        <w:t>z dn. 26 marca 2021</w:t>
      </w:r>
      <w:r w:rsidR="00331EB4" w:rsidRPr="00EB1A2A">
        <w:rPr>
          <w:rFonts w:ascii="Times New Roman" w:hAnsi="Times New Roman" w:cs="Times New Roman"/>
          <w:b/>
          <w:sz w:val="24"/>
          <w:szCs w:val="24"/>
        </w:rPr>
        <w:t xml:space="preserve"> r</w:t>
      </w:r>
      <w:r w:rsidR="003524BB" w:rsidRPr="00EB1A2A">
        <w:rPr>
          <w:rFonts w:ascii="Times New Roman" w:hAnsi="Times New Roman" w:cs="Times New Roman"/>
          <w:b/>
          <w:sz w:val="24"/>
          <w:szCs w:val="24"/>
        </w:rPr>
        <w:t>.</w:t>
      </w:r>
    </w:p>
    <w:p w14:paraId="4C3D20BB" w14:textId="77777777" w:rsidR="00331EB4" w:rsidRDefault="00331EB4" w:rsidP="003524BB">
      <w:pPr>
        <w:jc w:val="center"/>
        <w:rPr>
          <w:rFonts w:ascii="Times New Roman" w:hAnsi="Times New Roman" w:cs="Times New Roman"/>
          <w:b/>
          <w:sz w:val="24"/>
          <w:szCs w:val="24"/>
        </w:rPr>
      </w:pPr>
    </w:p>
    <w:p w14:paraId="0C8E0B93" w14:textId="77777777" w:rsidR="00A23395" w:rsidRPr="00EB1A2A" w:rsidRDefault="00A23395" w:rsidP="003524BB">
      <w:pPr>
        <w:jc w:val="center"/>
        <w:rPr>
          <w:rFonts w:ascii="Times New Roman" w:hAnsi="Times New Roman" w:cs="Times New Roman"/>
          <w:b/>
          <w:sz w:val="24"/>
          <w:szCs w:val="24"/>
        </w:rPr>
      </w:pPr>
    </w:p>
    <w:p w14:paraId="5D6FD162" w14:textId="40373BDE" w:rsidR="00A23395" w:rsidRDefault="003524BB" w:rsidP="00A23395">
      <w:pPr>
        <w:pStyle w:val="NormalnyWeb"/>
        <w:spacing w:before="0" w:beforeAutospacing="0" w:after="0" w:afterAutospacing="0" w:line="276" w:lineRule="auto"/>
        <w:ind w:left="1134" w:hanging="1134"/>
        <w:rPr>
          <w:b/>
        </w:rPr>
      </w:pPr>
      <w:r w:rsidRPr="00EB1A2A">
        <w:t>w sprawie:</w:t>
      </w:r>
      <w:r w:rsidRPr="00EB1A2A">
        <w:tab/>
      </w:r>
      <w:r w:rsidR="00BB1985" w:rsidRPr="00A23395">
        <w:rPr>
          <w:b/>
        </w:rPr>
        <w:t xml:space="preserve"> projektu</w:t>
      </w:r>
      <w:r w:rsidR="00BB1985" w:rsidRPr="00EB1A2A">
        <w:t xml:space="preserve"> </w:t>
      </w:r>
      <w:r w:rsidR="00BB1985" w:rsidRPr="00EB1A2A">
        <w:rPr>
          <w:b/>
        </w:rPr>
        <w:t>Krajowego Planu Odbudowy i Zwiększenia Odporności (KPO)</w:t>
      </w:r>
    </w:p>
    <w:p w14:paraId="22009CDA" w14:textId="77777777" w:rsidR="00A23395" w:rsidRPr="00EB1A2A" w:rsidRDefault="00A23395" w:rsidP="00A23395">
      <w:pPr>
        <w:pStyle w:val="NormalnyWeb"/>
        <w:spacing w:before="0" w:beforeAutospacing="0" w:after="0" w:afterAutospacing="0" w:line="276" w:lineRule="auto"/>
        <w:ind w:left="1134" w:hanging="1134"/>
        <w:rPr>
          <w:b/>
        </w:rPr>
      </w:pPr>
    </w:p>
    <w:p w14:paraId="7C79EED7" w14:textId="4A6EEE1F" w:rsidR="009B4428" w:rsidRPr="00EB1A2A" w:rsidRDefault="008778FE" w:rsidP="008778FE">
      <w:pPr>
        <w:ind w:firstLine="708"/>
        <w:jc w:val="both"/>
        <w:rPr>
          <w:rFonts w:ascii="Times New Roman" w:hAnsi="Times New Roman" w:cs="Times New Roman"/>
          <w:bCs/>
          <w:sz w:val="24"/>
          <w:szCs w:val="24"/>
        </w:rPr>
      </w:pPr>
      <w:r w:rsidRPr="00EB1A2A">
        <w:rPr>
          <w:rFonts w:ascii="Times New Roman" w:hAnsi="Times New Roman" w:cs="Times New Roman"/>
          <w:bCs/>
          <w:sz w:val="24"/>
          <w:szCs w:val="24"/>
        </w:rPr>
        <w:t>Zarząd Śląskiego Związku Gmin i Powiatów</w:t>
      </w:r>
      <w:r w:rsidR="00A640ED" w:rsidRPr="00EB1A2A">
        <w:rPr>
          <w:rFonts w:ascii="Times New Roman" w:hAnsi="Times New Roman" w:cs="Times New Roman"/>
          <w:bCs/>
          <w:sz w:val="24"/>
          <w:szCs w:val="24"/>
        </w:rPr>
        <w:t xml:space="preserve"> w swoim stanow</w:t>
      </w:r>
      <w:r w:rsidR="009B4428" w:rsidRPr="00EB1A2A">
        <w:rPr>
          <w:rFonts w:ascii="Times New Roman" w:hAnsi="Times New Roman" w:cs="Times New Roman"/>
          <w:bCs/>
          <w:sz w:val="24"/>
          <w:szCs w:val="24"/>
        </w:rPr>
        <w:t>i</w:t>
      </w:r>
      <w:r w:rsidR="00A640ED" w:rsidRPr="00EB1A2A">
        <w:rPr>
          <w:rFonts w:ascii="Times New Roman" w:hAnsi="Times New Roman" w:cs="Times New Roman"/>
          <w:bCs/>
          <w:sz w:val="24"/>
          <w:szCs w:val="24"/>
        </w:rPr>
        <w:t>sk</w:t>
      </w:r>
      <w:r w:rsidR="009B4428" w:rsidRPr="00EB1A2A">
        <w:rPr>
          <w:rFonts w:ascii="Times New Roman" w:hAnsi="Times New Roman" w:cs="Times New Roman"/>
          <w:bCs/>
          <w:sz w:val="24"/>
          <w:szCs w:val="24"/>
        </w:rPr>
        <w:t>u</w:t>
      </w:r>
      <w:r w:rsidR="00A640ED" w:rsidRPr="00EB1A2A">
        <w:rPr>
          <w:rFonts w:ascii="Times New Roman" w:hAnsi="Times New Roman" w:cs="Times New Roman"/>
          <w:bCs/>
          <w:sz w:val="24"/>
          <w:szCs w:val="24"/>
        </w:rPr>
        <w:t xml:space="preserve"> z dn. 26 lutego 2021 r. akcentował</w:t>
      </w:r>
      <w:r w:rsidR="009B4428" w:rsidRPr="00EB1A2A">
        <w:rPr>
          <w:rFonts w:ascii="Times New Roman" w:hAnsi="Times New Roman" w:cs="Times New Roman"/>
          <w:bCs/>
          <w:sz w:val="24"/>
          <w:szCs w:val="24"/>
        </w:rPr>
        <w:t xml:space="preserve"> potrzebę</w:t>
      </w:r>
      <w:r w:rsidR="00A640ED" w:rsidRPr="00EB1A2A">
        <w:rPr>
          <w:rFonts w:ascii="Times New Roman" w:hAnsi="Times New Roman" w:cs="Times New Roman"/>
          <w:bCs/>
          <w:sz w:val="24"/>
          <w:szCs w:val="24"/>
        </w:rPr>
        <w:t xml:space="preserve"> szerszego włączenia samorządów lokalnych w tworzenie projektu Krajowego Planu </w:t>
      </w:r>
      <w:r w:rsidR="009B4428" w:rsidRPr="00EB1A2A">
        <w:rPr>
          <w:rFonts w:ascii="Times New Roman" w:hAnsi="Times New Roman" w:cs="Times New Roman"/>
          <w:bCs/>
          <w:sz w:val="24"/>
          <w:szCs w:val="24"/>
        </w:rPr>
        <w:t>O</w:t>
      </w:r>
      <w:r w:rsidR="00A640ED" w:rsidRPr="00EB1A2A">
        <w:rPr>
          <w:rFonts w:ascii="Times New Roman" w:hAnsi="Times New Roman" w:cs="Times New Roman"/>
          <w:bCs/>
          <w:sz w:val="24"/>
          <w:szCs w:val="24"/>
        </w:rPr>
        <w:t>dbudowy</w:t>
      </w:r>
      <w:r w:rsidR="009F3FA8">
        <w:rPr>
          <w:rFonts w:ascii="Times New Roman" w:hAnsi="Times New Roman" w:cs="Times New Roman"/>
          <w:bCs/>
          <w:sz w:val="24"/>
          <w:szCs w:val="24"/>
        </w:rPr>
        <w:t xml:space="preserve"> i Zwiększenia Odporności (KPO)</w:t>
      </w:r>
      <w:r w:rsidR="009B4428" w:rsidRPr="00EB1A2A">
        <w:rPr>
          <w:rFonts w:ascii="Times New Roman" w:hAnsi="Times New Roman" w:cs="Times New Roman"/>
          <w:bCs/>
          <w:sz w:val="24"/>
          <w:szCs w:val="24"/>
        </w:rPr>
        <w:t>,</w:t>
      </w:r>
      <w:r w:rsidR="00A640ED" w:rsidRPr="00EB1A2A">
        <w:rPr>
          <w:rFonts w:ascii="Times New Roman" w:hAnsi="Times New Roman" w:cs="Times New Roman"/>
          <w:bCs/>
          <w:sz w:val="24"/>
          <w:szCs w:val="24"/>
        </w:rPr>
        <w:t xml:space="preserve"> jako istotnego</w:t>
      </w:r>
      <w:r w:rsidR="000D31E9">
        <w:rPr>
          <w:rFonts w:ascii="Times New Roman" w:hAnsi="Times New Roman" w:cs="Times New Roman"/>
          <w:bCs/>
          <w:sz w:val="24"/>
          <w:szCs w:val="24"/>
        </w:rPr>
        <w:t xml:space="preserve"> instrumentu służącego </w:t>
      </w:r>
      <w:r w:rsidR="009B4428" w:rsidRPr="00EB1A2A">
        <w:rPr>
          <w:rFonts w:ascii="Times New Roman" w:hAnsi="Times New Roman" w:cs="Times New Roman"/>
          <w:bCs/>
          <w:sz w:val="24"/>
          <w:szCs w:val="24"/>
        </w:rPr>
        <w:t xml:space="preserve">naprawie szkód społecznych i gospodarczych spowodowanych pandemią </w:t>
      </w:r>
      <w:proofErr w:type="spellStart"/>
      <w:r w:rsidR="009B4428" w:rsidRPr="00EB1A2A">
        <w:rPr>
          <w:rFonts w:ascii="Times New Roman" w:hAnsi="Times New Roman" w:cs="Times New Roman"/>
          <w:bCs/>
          <w:sz w:val="24"/>
          <w:szCs w:val="24"/>
        </w:rPr>
        <w:t>koronawirusa</w:t>
      </w:r>
      <w:proofErr w:type="spellEnd"/>
      <w:r w:rsidR="009B4428" w:rsidRPr="00EB1A2A">
        <w:rPr>
          <w:rFonts w:ascii="Times New Roman" w:hAnsi="Times New Roman" w:cs="Times New Roman"/>
          <w:bCs/>
          <w:sz w:val="24"/>
          <w:szCs w:val="24"/>
        </w:rPr>
        <w:t>, zwiększeniu odporności gospodarek państw członkowskich UE oraz przygotowaniu na przyszłe nieprzewidzenie okoliczności kryzysowe. W tym samym dniu po raz pierwszy upubliczniono projekt dokumentu KPO</w:t>
      </w:r>
      <w:r w:rsidR="00FD1E81" w:rsidRPr="00EB1A2A">
        <w:rPr>
          <w:rFonts w:ascii="Times New Roman" w:hAnsi="Times New Roman" w:cs="Times New Roman"/>
          <w:bCs/>
          <w:sz w:val="24"/>
          <w:szCs w:val="24"/>
        </w:rPr>
        <w:t xml:space="preserve"> </w:t>
      </w:r>
      <w:r w:rsidR="009B4428" w:rsidRPr="00EB1A2A">
        <w:rPr>
          <w:rFonts w:ascii="Times New Roman" w:hAnsi="Times New Roman" w:cs="Times New Roman"/>
          <w:bCs/>
          <w:sz w:val="24"/>
          <w:szCs w:val="24"/>
        </w:rPr>
        <w:t xml:space="preserve">w ramach </w:t>
      </w:r>
      <w:r w:rsidR="009F3FA8">
        <w:rPr>
          <w:rFonts w:ascii="Times New Roman" w:hAnsi="Times New Roman" w:cs="Times New Roman"/>
          <w:bCs/>
          <w:sz w:val="24"/>
          <w:szCs w:val="24"/>
        </w:rPr>
        <w:t xml:space="preserve">tzw. </w:t>
      </w:r>
      <w:r w:rsidR="009B4428" w:rsidRPr="00EB1A2A">
        <w:rPr>
          <w:rFonts w:ascii="Times New Roman" w:hAnsi="Times New Roman" w:cs="Times New Roman"/>
          <w:bCs/>
          <w:sz w:val="24"/>
          <w:szCs w:val="24"/>
        </w:rPr>
        <w:t>konsultacji społecznych. Niniejszym przedstawiamy uwagi gmin i powiatów członkowski</w:t>
      </w:r>
      <w:r w:rsidR="00EB1A2A">
        <w:rPr>
          <w:rFonts w:ascii="Times New Roman" w:hAnsi="Times New Roman" w:cs="Times New Roman"/>
          <w:bCs/>
          <w:sz w:val="24"/>
          <w:szCs w:val="24"/>
        </w:rPr>
        <w:t>ch</w:t>
      </w:r>
      <w:r w:rsidR="00FD1E81" w:rsidRPr="00EB1A2A">
        <w:rPr>
          <w:rFonts w:ascii="Times New Roman" w:hAnsi="Times New Roman" w:cs="Times New Roman"/>
          <w:bCs/>
          <w:sz w:val="24"/>
          <w:szCs w:val="24"/>
        </w:rPr>
        <w:t xml:space="preserve"> zrzeszonych w naszym Związku</w:t>
      </w:r>
      <w:r w:rsidR="009F3FA8">
        <w:rPr>
          <w:rFonts w:ascii="Times New Roman" w:hAnsi="Times New Roman" w:cs="Times New Roman"/>
          <w:bCs/>
          <w:sz w:val="24"/>
          <w:szCs w:val="24"/>
        </w:rPr>
        <w:t>, odnoszące się do wybranych fragmentów dokumentu, a niekiedy również do jego całości</w:t>
      </w:r>
      <w:r w:rsidR="009B4428" w:rsidRPr="00EB1A2A">
        <w:rPr>
          <w:rFonts w:ascii="Times New Roman" w:hAnsi="Times New Roman" w:cs="Times New Roman"/>
          <w:bCs/>
          <w:sz w:val="24"/>
          <w:szCs w:val="24"/>
        </w:rPr>
        <w:t xml:space="preserve">. </w:t>
      </w:r>
    </w:p>
    <w:p w14:paraId="484E2B9E" w14:textId="6DD99420" w:rsidR="00B73423" w:rsidRDefault="009F3FA8" w:rsidP="00B73423">
      <w:pPr>
        <w:pStyle w:val="NormalnyWeb"/>
        <w:ind w:firstLine="708"/>
        <w:jc w:val="both"/>
        <w:rPr>
          <w:bCs/>
        </w:rPr>
      </w:pPr>
      <w:r w:rsidRPr="009F3FA8">
        <w:rPr>
          <w:bCs/>
        </w:rPr>
        <w:t xml:space="preserve">Niewątpliwie </w:t>
      </w:r>
      <w:r>
        <w:rPr>
          <w:bCs/>
        </w:rPr>
        <w:t xml:space="preserve">KPO ma szansę odegrać olbrzymią rolę w odbudowie polskiej gospodarki po trudnym okresie kryzysu, ale również </w:t>
      </w:r>
      <w:r w:rsidR="000D31E9">
        <w:rPr>
          <w:bCs/>
        </w:rPr>
        <w:t>istotnym jej wzmocnieniu oraz</w:t>
      </w:r>
      <w:r>
        <w:rPr>
          <w:bCs/>
        </w:rPr>
        <w:t xml:space="preserve"> lepszym dostosowaniu do nowych - </w:t>
      </w:r>
      <w:proofErr w:type="spellStart"/>
      <w:r>
        <w:rPr>
          <w:bCs/>
        </w:rPr>
        <w:t>popandemicznych</w:t>
      </w:r>
      <w:proofErr w:type="spellEnd"/>
      <w:r>
        <w:rPr>
          <w:bCs/>
        </w:rPr>
        <w:t xml:space="preserve"> uwarunkowań. </w:t>
      </w:r>
      <w:r w:rsidR="00A640ED" w:rsidRPr="009F3FA8">
        <w:rPr>
          <w:bCs/>
        </w:rPr>
        <w:t>W zaprezentowanym</w:t>
      </w:r>
      <w:r w:rsidR="00FD1E81" w:rsidRPr="009F3FA8">
        <w:rPr>
          <w:bCs/>
        </w:rPr>
        <w:t xml:space="preserve"> </w:t>
      </w:r>
      <w:r w:rsidR="00A640ED" w:rsidRPr="009F3FA8">
        <w:rPr>
          <w:bCs/>
        </w:rPr>
        <w:t>projekcie KPO</w:t>
      </w:r>
      <w:r w:rsidR="00FD1E81" w:rsidRPr="009F3FA8">
        <w:rPr>
          <w:bCs/>
        </w:rPr>
        <w:t xml:space="preserve"> </w:t>
      </w:r>
      <w:r w:rsidR="000D31E9">
        <w:rPr>
          <w:bCs/>
        </w:rPr>
        <w:t xml:space="preserve">naszym zdaniem, </w:t>
      </w:r>
      <w:r>
        <w:rPr>
          <w:bCs/>
        </w:rPr>
        <w:t>obok wielu cennych elementów</w:t>
      </w:r>
      <w:r w:rsidR="000D31E9">
        <w:rPr>
          <w:bCs/>
        </w:rPr>
        <w:t xml:space="preserve"> i bezdyskusyjnych priorytetów, tj. </w:t>
      </w:r>
      <w:r w:rsidR="0073656A" w:rsidRPr="0073656A">
        <w:rPr>
          <w:bCs/>
        </w:rPr>
        <w:t>m.in.</w:t>
      </w:r>
      <w:r w:rsidR="0073656A">
        <w:rPr>
          <w:bCs/>
        </w:rPr>
        <w:t xml:space="preserve"> </w:t>
      </w:r>
      <w:r w:rsidR="0073656A" w:rsidRPr="0073656A">
        <w:rPr>
          <w:bCs/>
        </w:rPr>
        <w:t>zwiększeni</w:t>
      </w:r>
      <w:r w:rsidR="0073656A">
        <w:rPr>
          <w:bCs/>
        </w:rPr>
        <w:t>a</w:t>
      </w:r>
      <w:r w:rsidR="0073656A" w:rsidRPr="0073656A">
        <w:rPr>
          <w:bCs/>
        </w:rPr>
        <w:t xml:space="preserve"> produktywności gospodarki, zdoln</w:t>
      </w:r>
      <w:r w:rsidR="00B73423">
        <w:rPr>
          <w:bCs/>
        </w:rPr>
        <w:t>ej</w:t>
      </w:r>
      <w:r w:rsidR="0073656A" w:rsidRPr="0073656A">
        <w:rPr>
          <w:bCs/>
        </w:rPr>
        <w:t xml:space="preserve"> do tworzenia wysokiej jakości</w:t>
      </w:r>
      <w:r w:rsidR="0073656A">
        <w:rPr>
          <w:bCs/>
        </w:rPr>
        <w:t>, bardziej dostępnych</w:t>
      </w:r>
      <w:r w:rsidR="0073656A" w:rsidRPr="0073656A">
        <w:rPr>
          <w:bCs/>
        </w:rPr>
        <w:t xml:space="preserve"> miejsc pracy</w:t>
      </w:r>
      <w:r w:rsidR="0073656A">
        <w:rPr>
          <w:bCs/>
        </w:rPr>
        <w:t xml:space="preserve">, </w:t>
      </w:r>
      <w:r w:rsidR="00C036C6" w:rsidRPr="00C036C6">
        <w:rPr>
          <w:bCs/>
        </w:rPr>
        <w:t>wyższej jakości i lepszego dostępu do usług zdrowotnych</w:t>
      </w:r>
      <w:r w:rsidR="00C036C6">
        <w:rPr>
          <w:bCs/>
        </w:rPr>
        <w:t>,</w:t>
      </w:r>
      <w:r w:rsidR="00C036C6" w:rsidRPr="00C036C6">
        <w:rPr>
          <w:bCs/>
        </w:rPr>
        <w:t xml:space="preserve"> </w:t>
      </w:r>
      <w:r w:rsidR="0073656A">
        <w:rPr>
          <w:bCs/>
        </w:rPr>
        <w:t>pr</w:t>
      </w:r>
      <w:r w:rsidR="0073656A" w:rsidRPr="0073656A">
        <w:rPr>
          <w:bCs/>
        </w:rPr>
        <w:t>zyspieszeni</w:t>
      </w:r>
      <w:r w:rsidR="0073656A">
        <w:rPr>
          <w:bCs/>
        </w:rPr>
        <w:t>a</w:t>
      </w:r>
      <w:r w:rsidR="0073656A" w:rsidRPr="0073656A">
        <w:rPr>
          <w:bCs/>
        </w:rPr>
        <w:t xml:space="preserve"> rozwoju </w:t>
      </w:r>
      <w:r w:rsidR="00B73423" w:rsidRPr="0073656A">
        <w:rPr>
          <w:bCs/>
        </w:rPr>
        <w:t xml:space="preserve">gospodarki </w:t>
      </w:r>
      <w:r w:rsidR="00A23395">
        <w:rPr>
          <w:bCs/>
        </w:rPr>
        <w:t>niskoemisyjnej o </w:t>
      </w:r>
      <w:r w:rsidR="0073656A" w:rsidRPr="0073656A">
        <w:rPr>
          <w:bCs/>
        </w:rPr>
        <w:t>obiegu zamkniętym, a także rozw</w:t>
      </w:r>
      <w:r w:rsidR="00B73423">
        <w:rPr>
          <w:bCs/>
        </w:rPr>
        <w:t>oju</w:t>
      </w:r>
      <w:r w:rsidR="0073656A" w:rsidRPr="0073656A">
        <w:rPr>
          <w:bCs/>
        </w:rPr>
        <w:t xml:space="preserve"> opart</w:t>
      </w:r>
      <w:r w:rsidR="00B73423">
        <w:rPr>
          <w:bCs/>
        </w:rPr>
        <w:t>ego w większym stopniu</w:t>
      </w:r>
      <w:r w:rsidR="0073656A" w:rsidRPr="0073656A">
        <w:rPr>
          <w:bCs/>
        </w:rPr>
        <w:t xml:space="preserve"> na wy</w:t>
      </w:r>
      <w:r w:rsidR="00B73423">
        <w:rPr>
          <w:bCs/>
        </w:rPr>
        <w:t xml:space="preserve">korzystaniu rozwiązań cyfrowych, </w:t>
      </w:r>
      <w:r w:rsidR="00B73423" w:rsidRPr="009F3FA8">
        <w:rPr>
          <w:bCs/>
        </w:rPr>
        <w:t xml:space="preserve">brakuje </w:t>
      </w:r>
      <w:r w:rsidR="00B73423">
        <w:rPr>
          <w:bCs/>
        </w:rPr>
        <w:t>rozwiązań dla pewnej grupy istotnych problemów, które mogłyby zgłosić samorządy lokalne już na etapie tworzenia aktualnego projektu Planu, gdyby zostały one w sposób bardziej aktywny włączone do procesu jego powstawania. Problemy te mogą w mniej lub bardziej istotny sposób wpłynąć na rzeczywiste efekty wdrożenia Planu.</w:t>
      </w:r>
    </w:p>
    <w:p w14:paraId="2ED5EC21" w14:textId="2CBB4763" w:rsidR="00757BED" w:rsidRDefault="000D31E9" w:rsidP="009F3FA8">
      <w:pPr>
        <w:pStyle w:val="NormalnyWeb"/>
        <w:ind w:firstLine="708"/>
        <w:jc w:val="both"/>
        <w:rPr>
          <w:bCs/>
        </w:rPr>
      </w:pPr>
      <w:r>
        <w:rPr>
          <w:bCs/>
        </w:rPr>
        <w:t xml:space="preserve">W projekcie dokumentu KPO udostępnionego w ramach konsultacji społecznych brakuje przede wszystkim </w:t>
      </w:r>
      <w:r w:rsidR="00FD1E81" w:rsidRPr="009F3FA8">
        <w:rPr>
          <w:bCs/>
        </w:rPr>
        <w:t>adekwatnych do skali potrzeb</w:t>
      </w:r>
      <w:r w:rsidR="00757BED" w:rsidRPr="009F3FA8">
        <w:rPr>
          <w:bCs/>
        </w:rPr>
        <w:t xml:space="preserve"> działań wspierających branże, które najbardziej ucierpiały w skutek pandemii</w:t>
      </w:r>
      <w:r w:rsidR="009F3FA8" w:rsidRPr="009F3FA8">
        <w:rPr>
          <w:bCs/>
        </w:rPr>
        <w:t>,</w:t>
      </w:r>
      <w:r w:rsidR="00A640ED" w:rsidRPr="009F3FA8">
        <w:rPr>
          <w:bCs/>
        </w:rPr>
        <w:t xml:space="preserve"> </w:t>
      </w:r>
      <w:r w:rsidR="00FD1E81" w:rsidRPr="009F3FA8">
        <w:rPr>
          <w:bCs/>
        </w:rPr>
        <w:t>w tym</w:t>
      </w:r>
      <w:r w:rsidR="009F3FA8" w:rsidRPr="009F3FA8">
        <w:rPr>
          <w:bCs/>
        </w:rPr>
        <w:t>:</w:t>
      </w:r>
      <w:r w:rsidR="00FD1E81" w:rsidRPr="009F3FA8">
        <w:rPr>
          <w:bCs/>
        </w:rPr>
        <w:t xml:space="preserve"> d</w:t>
      </w:r>
      <w:bookmarkStart w:id="0" w:name="_GoBack"/>
      <w:bookmarkEnd w:id="0"/>
      <w:r w:rsidR="00FD1E81" w:rsidRPr="009F3FA8">
        <w:rPr>
          <w:bCs/>
        </w:rPr>
        <w:t>la</w:t>
      </w:r>
      <w:r w:rsidR="00757BED" w:rsidRPr="009F3FA8">
        <w:rPr>
          <w:bCs/>
        </w:rPr>
        <w:t xml:space="preserve"> gastronomi</w:t>
      </w:r>
      <w:r w:rsidR="00A54BE1" w:rsidRPr="009F3FA8">
        <w:rPr>
          <w:bCs/>
        </w:rPr>
        <w:t>,</w:t>
      </w:r>
      <w:r w:rsidR="00757BED" w:rsidRPr="009F3FA8">
        <w:rPr>
          <w:bCs/>
        </w:rPr>
        <w:t xml:space="preserve"> turystyk</w:t>
      </w:r>
      <w:r w:rsidR="00A640ED" w:rsidRPr="009F3FA8">
        <w:rPr>
          <w:bCs/>
        </w:rPr>
        <w:t>i</w:t>
      </w:r>
      <w:r w:rsidR="00A23395">
        <w:rPr>
          <w:bCs/>
        </w:rPr>
        <w:t>, rzemiosła i </w:t>
      </w:r>
      <w:r w:rsidR="00A54BE1" w:rsidRPr="009F3FA8">
        <w:rPr>
          <w:bCs/>
        </w:rPr>
        <w:t>drobnego handlu detalicznego</w:t>
      </w:r>
      <w:r w:rsidR="00757BED" w:rsidRPr="009F3FA8">
        <w:rPr>
          <w:bCs/>
        </w:rPr>
        <w:t>.</w:t>
      </w:r>
      <w:r w:rsidR="009B4428" w:rsidRPr="00EB1A2A">
        <w:rPr>
          <w:bCs/>
        </w:rPr>
        <w:t xml:space="preserve"> </w:t>
      </w:r>
      <w:r w:rsidR="00757BED" w:rsidRPr="00EB1A2A">
        <w:rPr>
          <w:bCs/>
        </w:rPr>
        <w:t>Plan nie zakłada</w:t>
      </w:r>
      <w:r w:rsidR="00EB1A2A">
        <w:rPr>
          <w:bCs/>
        </w:rPr>
        <w:t xml:space="preserve"> </w:t>
      </w:r>
      <w:r w:rsidR="009B4428" w:rsidRPr="00EB1A2A">
        <w:rPr>
          <w:bCs/>
        </w:rPr>
        <w:t>wystarczającego</w:t>
      </w:r>
      <w:r w:rsidR="00757BED" w:rsidRPr="00EB1A2A">
        <w:rPr>
          <w:bCs/>
        </w:rPr>
        <w:t xml:space="preserve"> wsparcia dla osób, które borykają się z problemami zdrowotnymi po przejściu choroby COVID 19 –</w:t>
      </w:r>
      <w:r w:rsidR="008778FE" w:rsidRPr="00EB1A2A">
        <w:rPr>
          <w:bCs/>
        </w:rPr>
        <w:t xml:space="preserve"> dla których</w:t>
      </w:r>
      <w:r w:rsidR="00757BED" w:rsidRPr="00EB1A2A">
        <w:rPr>
          <w:bCs/>
        </w:rPr>
        <w:t xml:space="preserve"> naturaln</w:t>
      </w:r>
      <w:r w:rsidR="008778FE" w:rsidRPr="00EB1A2A">
        <w:rPr>
          <w:bCs/>
        </w:rPr>
        <w:t>ym wydawałoby się</w:t>
      </w:r>
      <w:r w:rsidR="00757BED" w:rsidRPr="00EB1A2A">
        <w:rPr>
          <w:bCs/>
        </w:rPr>
        <w:t xml:space="preserve"> tworzenie programów rehabilitacyjnych i finansowa</w:t>
      </w:r>
      <w:r w:rsidR="00EB1A2A">
        <w:rPr>
          <w:bCs/>
        </w:rPr>
        <w:t>nie</w:t>
      </w:r>
      <w:r w:rsidR="00757BED" w:rsidRPr="00EB1A2A">
        <w:rPr>
          <w:bCs/>
        </w:rPr>
        <w:t xml:space="preserve"> </w:t>
      </w:r>
      <w:r w:rsidR="00FD1E81" w:rsidRPr="00EB1A2A">
        <w:rPr>
          <w:bCs/>
        </w:rPr>
        <w:t xml:space="preserve">ich </w:t>
      </w:r>
      <w:r w:rsidR="00757BED" w:rsidRPr="00EB1A2A">
        <w:rPr>
          <w:bCs/>
        </w:rPr>
        <w:t>właśnie z</w:t>
      </w:r>
      <w:r w:rsidR="009F3FA8">
        <w:rPr>
          <w:bCs/>
        </w:rPr>
        <w:t>e środków Planu.</w:t>
      </w:r>
      <w:r w:rsidR="00757BED" w:rsidRPr="00EB1A2A">
        <w:rPr>
          <w:bCs/>
        </w:rPr>
        <w:t xml:space="preserve"> </w:t>
      </w:r>
      <w:r w:rsidR="008778FE" w:rsidRPr="00EB1A2A">
        <w:rPr>
          <w:bCs/>
        </w:rPr>
        <w:t>S</w:t>
      </w:r>
      <w:r w:rsidR="00757BED" w:rsidRPr="00EB1A2A">
        <w:rPr>
          <w:bCs/>
        </w:rPr>
        <w:t>zczególnie istotne jest to dla o</w:t>
      </w:r>
      <w:r w:rsidR="00642CE3">
        <w:rPr>
          <w:bCs/>
        </w:rPr>
        <w:t>sób w wieku produkcyjnym, które</w:t>
      </w:r>
      <w:r w:rsidR="00757BED" w:rsidRPr="00EB1A2A">
        <w:rPr>
          <w:bCs/>
        </w:rPr>
        <w:t xml:space="preserve"> w wyniku skutków </w:t>
      </w:r>
      <w:r w:rsidR="009F3FA8">
        <w:rPr>
          <w:bCs/>
        </w:rPr>
        <w:t xml:space="preserve">przebytej </w:t>
      </w:r>
      <w:r w:rsidR="00757BED" w:rsidRPr="00EB1A2A">
        <w:rPr>
          <w:bCs/>
        </w:rPr>
        <w:t>choroby nie mogą podjąć się dalszej pracy.</w:t>
      </w:r>
      <w:r w:rsidR="00560136" w:rsidRPr="00EB1A2A">
        <w:rPr>
          <w:bCs/>
        </w:rPr>
        <w:t xml:space="preserve"> </w:t>
      </w:r>
      <w:r w:rsidR="00757BED" w:rsidRPr="00EB1A2A">
        <w:rPr>
          <w:bCs/>
        </w:rPr>
        <w:t>W obszarze edukacji</w:t>
      </w:r>
      <w:r>
        <w:rPr>
          <w:bCs/>
        </w:rPr>
        <w:t xml:space="preserve"> w projekcie dokumentu</w:t>
      </w:r>
      <w:r w:rsidR="00757BED" w:rsidRPr="00EB1A2A">
        <w:rPr>
          <w:bCs/>
        </w:rPr>
        <w:t xml:space="preserve"> zakłada się jedynie wsparcie szkolnictwa zawodowego i cyfryzacj</w:t>
      </w:r>
      <w:r w:rsidR="00560136" w:rsidRPr="00EB1A2A">
        <w:rPr>
          <w:bCs/>
        </w:rPr>
        <w:t>ę</w:t>
      </w:r>
      <w:r w:rsidR="00757BED" w:rsidRPr="00EB1A2A">
        <w:rPr>
          <w:bCs/>
        </w:rPr>
        <w:t xml:space="preserve"> szkół, natomiast brakuje działań, które by przewidywały wsparcie psychologiczne dla uczniów wszystkich poziomów edukacji oraz niwelowanie braków edukacyjnych, które powstały w wyniku zdalnej nauki</w:t>
      </w:r>
      <w:r w:rsidR="00560136" w:rsidRPr="00EB1A2A">
        <w:rPr>
          <w:bCs/>
        </w:rPr>
        <w:t xml:space="preserve"> w okresie ostatniego roku</w:t>
      </w:r>
      <w:r w:rsidR="00757BED" w:rsidRPr="00EB1A2A">
        <w:rPr>
          <w:bCs/>
        </w:rPr>
        <w:t>.</w:t>
      </w:r>
      <w:r w:rsidR="00FD1E81" w:rsidRPr="00EB1A2A">
        <w:rPr>
          <w:bCs/>
        </w:rPr>
        <w:t xml:space="preserve"> </w:t>
      </w:r>
      <w:r>
        <w:rPr>
          <w:bCs/>
        </w:rPr>
        <w:t>Jako pewną słabość P</w:t>
      </w:r>
      <w:r w:rsidR="00642CE3">
        <w:rPr>
          <w:bCs/>
        </w:rPr>
        <w:t>l</w:t>
      </w:r>
      <w:r>
        <w:rPr>
          <w:bCs/>
        </w:rPr>
        <w:t xml:space="preserve">anu odczytujemy brak </w:t>
      </w:r>
      <w:r w:rsidR="00757BED" w:rsidRPr="00EB1A2A">
        <w:rPr>
          <w:bCs/>
        </w:rPr>
        <w:t>programu kształcenia nauczycieli w zakresie umiejętności miękkich związanych z motywacją uczniów do nauki zdalnej i nowych form nauczania</w:t>
      </w:r>
      <w:r w:rsidR="00560136" w:rsidRPr="00EB1A2A">
        <w:rPr>
          <w:bCs/>
        </w:rPr>
        <w:t xml:space="preserve"> oraz</w:t>
      </w:r>
      <w:r w:rsidR="00757BED" w:rsidRPr="00EB1A2A">
        <w:rPr>
          <w:bCs/>
        </w:rPr>
        <w:t xml:space="preserve"> programów rozwijających miękkie umiejętności uczniów. Zaplanowane działania w obszarze edukacji są</w:t>
      </w:r>
      <w:r w:rsidR="00560136" w:rsidRPr="00EB1A2A">
        <w:rPr>
          <w:bCs/>
        </w:rPr>
        <w:t xml:space="preserve"> zatem naszym zdaniem</w:t>
      </w:r>
      <w:r>
        <w:rPr>
          <w:bCs/>
        </w:rPr>
        <w:t xml:space="preserve"> bardziej</w:t>
      </w:r>
      <w:r w:rsidR="00560136" w:rsidRPr="00EB1A2A">
        <w:rPr>
          <w:bCs/>
        </w:rPr>
        <w:t xml:space="preserve"> ugruntowaniem</w:t>
      </w:r>
      <w:r w:rsidR="00757BED" w:rsidRPr="00EB1A2A">
        <w:rPr>
          <w:bCs/>
        </w:rPr>
        <w:t xml:space="preserve"> stanu obecnego, bez</w:t>
      </w:r>
      <w:r w:rsidR="00560136" w:rsidRPr="00EB1A2A">
        <w:rPr>
          <w:bCs/>
        </w:rPr>
        <w:t xml:space="preserve"> istotnego</w:t>
      </w:r>
      <w:r w:rsidR="00757BED" w:rsidRPr="00EB1A2A">
        <w:rPr>
          <w:bCs/>
        </w:rPr>
        <w:t xml:space="preserve"> wpływu na</w:t>
      </w:r>
      <w:r w:rsidR="00560136" w:rsidRPr="00EB1A2A">
        <w:rPr>
          <w:bCs/>
        </w:rPr>
        <w:t xml:space="preserve"> dalszy</w:t>
      </w:r>
      <w:r w:rsidR="00757BED" w:rsidRPr="00EB1A2A">
        <w:rPr>
          <w:bCs/>
        </w:rPr>
        <w:t xml:space="preserve"> rozwój</w:t>
      </w:r>
      <w:r w:rsidR="00560136" w:rsidRPr="00EB1A2A">
        <w:rPr>
          <w:bCs/>
        </w:rPr>
        <w:t xml:space="preserve"> czy też rozwiązanie powstałych problemów w tym obszarze</w:t>
      </w:r>
      <w:r w:rsidR="00A640ED" w:rsidRPr="00EB1A2A">
        <w:rPr>
          <w:bCs/>
        </w:rPr>
        <w:t xml:space="preserve"> w okresie pandemii</w:t>
      </w:r>
      <w:r w:rsidR="00757BED" w:rsidRPr="00EB1A2A">
        <w:rPr>
          <w:bCs/>
        </w:rPr>
        <w:t>.</w:t>
      </w:r>
    </w:p>
    <w:p w14:paraId="36F1C9B8" w14:textId="27AE6C7F" w:rsidR="00FD1E81" w:rsidRDefault="009B4428" w:rsidP="00A54BE1">
      <w:pPr>
        <w:ind w:firstLine="708"/>
        <w:jc w:val="both"/>
        <w:rPr>
          <w:rFonts w:ascii="Times New Roman" w:hAnsi="Times New Roman" w:cs="Times New Roman"/>
          <w:sz w:val="24"/>
          <w:szCs w:val="24"/>
        </w:rPr>
      </w:pPr>
      <w:r w:rsidRPr="00EB1A2A">
        <w:rPr>
          <w:rFonts w:ascii="Times New Roman" w:hAnsi="Times New Roman" w:cs="Times New Roman"/>
          <w:sz w:val="24"/>
          <w:szCs w:val="24"/>
        </w:rPr>
        <w:lastRenderedPageBreak/>
        <w:t xml:space="preserve">W projekcie KPO podkreślono rolę </w:t>
      </w:r>
      <w:proofErr w:type="spellStart"/>
      <w:r w:rsidRPr="00EB1A2A">
        <w:rPr>
          <w:rFonts w:ascii="Times New Roman" w:hAnsi="Times New Roman" w:cs="Times New Roman"/>
          <w:sz w:val="24"/>
          <w:szCs w:val="24"/>
        </w:rPr>
        <w:t>cyberbezpieczeństwa</w:t>
      </w:r>
      <w:proofErr w:type="spellEnd"/>
      <w:r w:rsidRPr="00EB1A2A">
        <w:rPr>
          <w:rFonts w:ascii="Times New Roman" w:hAnsi="Times New Roman" w:cs="Times New Roman"/>
          <w:sz w:val="24"/>
          <w:szCs w:val="24"/>
        </w:rPr>
        <w:t xml:space="preserve"> jako niezbędnego elementu dla rozwoju społeczeństwa cyfrowego. Finansowanie w tym zakresie przewidziano jednak tylko bezpośrednio na poziomie krajowym, na realizację inwestycji w zakresie oprogramowania, urządzeń</w:t>
      </w:r>
      <w:r w:rsidR="00EB1A2A">
        <w:rPr>
          <w:rFonts w:ascii="Times New Roman" w:hAnsi="Times New Roman" w:cs="Times New Roman"/>
          <w:sz w:val="24"/>
          <w:szCs w:val="24"/>
        </w:rPr>
        <w:t xml:space="preserve"> </w:t>
      </w:r>
      <w:r w:rsidRPr="00EB1A2A">
        <w:rPr>
          <w:rFonts w:ascii="Times New Roman" w:hAnsi="Times New Roman" w:cs="Times New Roman"/>
          <w:sz w:val="24"/>
          <w:szCs w:val="24"/>
        </w:rPr>
        <w:t xml:space="preserve">i infrastruktury towarzyszącej służących </w:t>
      </w:r>
      <w:proofErr w:type="spellStart"/>
      <w:r w:rsidRPr="00EB1A2A">
        <w:rPr>
          <w:rFonts w:ascii="Times New Roman" w:hAnsi="Times New Roman" w:cs="Times New Roman"/>
          <w:sz w:val="24"/>
          <w:szCs w:val="24"/>
        </w:rPr>
        <w:t>cyberbezpieczeństwu</w:t>
      </w:r>
      <w:proofErr w:type="spellEnd"/>
      <w:r w:rsidRPr="00EB1A2A">
        <w:rPr>
          <w:rFonts w:ascii="Times New Roman" w:hAnsi="Times New Roman" w:cs="Times New Roman"/>
          <w:sz w:val="24"/>
          <w:szCs w:val="24"/>
        </w:rPr>
        <w:t xml:space="preserve"> </w:t>
      </w:r>
      <w:proofErr w:type="spellStart"/>
      <w:r w:rsidRPr="00EB1A2A">
        <w:rPr>
          <w:rFonts w:ascii="Times New Roman" w:hAnsi="Times New Roman" w:cs="Times New Roman"/>
          <w:sz w:val="24"/>
          <w:szCs w:val="24"/>
        </w:rPr>
        <w:t>przesyłu</w:t>
      </w:r>
      <w:proofErr w:type="spellEnd"/>
      <w:r w:rsidRPr="00EB1A2A">
        <w:rPr>
          <w:rFonts w:ascii="Times New Roman" w:hAnsi="Times New Roman" w:cs="Times New Roman"/>
          <w:sz w:val="24"/>
          <w:szCs w:val="24"/>
        </w:rPr>
        <w:t xml:space="preserve"> i gromadzenia danych. Nie ulega wątpliwości, że przedstawione w KPO działania są niezwykle istotne. Jednak dla zapewnienia dojrzałości e-</w:t>
      </w:r>
      <w:r w:rsidR="009F3FA8" w:rsidRPr="00EB1A2A">
        <w:rPr>
          <w:rFonts w:ascii="Times New Roman" w:hAnsi="Times New Roman" w:cs="Times New Roman"/>
          <w:sz w:val="24"/>
          <w:szCs w:val="24"/>
        </w:rPr>
        <w:t>usług</w:t>
      </w:r>
      <w:r w:rsidRPr="00EB1A2A">
        <w:rPr>
          <w:rFonts w:ascii="Times New Roman" w:hAnsi="Times New Roman" w:cs="Times New Roman"/>
          <w:sz w:val="24"/>
          <w:szCs w:val="24"/>
        </w:rPr>
        <w:t xml:space="preserve"> świadczonych na poziomie lokalnym lub regionalnym konieczne jest zapewnienie finansowania także dla innych beneficjentów, w tym samorządów terytorialnych. </w:t>
      </w:r>
      <w:r w:rsidR="000938E8">
        <w:rPr>
          <w:rFonts w:ascii="Times New Roman" w:hAnsi="Times New Roman" w:cs="Times New Roman"/>
          <w:sz w:val="24"/>
          <w:szCs w:val="24"/>
        </w:rPr>
        <w:t>Przykładowo c</w:t>
      </w:r>
      <w:r w:rsidR="000938E8" w:rsidRPr="000938E8">
        <w:rPr>
          <w:rFonts w:ascii="Times New Roman" w:hAnsi="Times New Roman" w:cs="Times New Roman"/>
          <w:sz w:val="24"/>
          <w:szCs w:val="24"/>
        </w:rPr>
        <w:t>yfryzacja procesu budowlanego, w tym stworzenie platformy do wymiany danych, przede wszystkim musi uwzględnić przygotowanie jednostek samorządu terytorialnego do prowadzenia baz danych przestrzennych, w szczególności w zakresie kompetencji cyfrowych pracowników. W ślad za wprowadzeniem odgórnych rozwiązań musi iść system kompleksowych szkoleń dostępnych dla wszystkich jednostek, będących uczestnikiem proc</w:t>
      </w:r>
      <w:r w:rsidR="00A23395">
        <w:rPr>
          <w:rFonts w:ascii="Times New Roman" w:hAnsi="Times New Roman" w:cs="Times New Roman"/>
          <w:sz w:val="24"/>
          <w:szCs w:val="24"/>
        </w:rPr>
        <w:t>esu budowlanego, inicjowanych i </w:t>
      </w:r>
      <w:r w:rsidR="000938E8" w:rsidRPr="000938E8">
        <w:rPr>
          <w:rFonts w:ascii="Times New Roman" w:hAnsi="Times New Roman" w:cs="Times New Roman"/>
          <w:sz w:val="24"/>
          <w:szCs w:val="24"/>
        </w:rPr>
        <w:t>koordy</w:t>
      </w:r>
      <w:r w:rsidR="000938E8">
        <w:rPr>
          <w:rFonts w:ascii="Times New Roman" w:hAnsi="Times New Roman" w:cs="Times New Roman"/>
          <w:sz w:val="24"/>
          <w:szCs w:val="24"/>
        </w:rPr>
        <w:t>nowanych przez stronę rządową. Niezbędne jest zatem</w:t>
      </w:r>
      <w:r w:rsidRPr="00EB1A2A">
        <w:rPr>
          <w:rFonts w:ascii="Times New Roman" w:hAnsi="Times New Roman" w:cs="Times New Roman"/>
          <w:sz w:val="24"/>
          <w:szCs w:val="24"/>
        </w:rPr>
        <w:t xml:space="preserve"> wdrożenie specjalistycznych narzędzi oraz procedur, które zapewnią ciągłość działania świadczonych usług cyfrowych. Sprawna administracja, to również bezpieczna administracja cyfrowa w samorządach. Brak finansowania w tym obszarze może rodzić problem</w:t>
      </w:r>
      <w:r w:rsidR="00A23395">
        <w:rPr>
          <w:rFonts w:ascii="Times New Roman" w:hAnsi="Times New Roman" w:cs="Times New Roman"/>
          <w:sz w:val="24"/>
          <w:szCs w:val="24"/>
        </w:rPr>
        <w:t>y w funkcjonowaniu przyjętych i </w:t>
      </w:r>
      <w:r w:rsidRPr="00EB1A2A">
        <w:rPr>
          <w:rFonts w:ascii="Times New Roman" w:hAnsi="Times New Roman" w:cs="Times New Roman"/>
          <w:sz w:val="24"/>
          <w:szCs w:val="24"/>
        </w:rPr>
        <w:t xml:space="preserve">planowanych e-rozwiązań. Podkreślić należy, że możliwość zapewnienia pełnego </w:t>
      </w:r>
      <w:proofErr w:type="spellStart"/>
      <w:r w:rsidRPr="00EB1A2A">
        <w:rPr>
          <w:rFonts w:ascii="Times New Roman" w:hAnsi="Times New Roman" w:cs="Times New Roman"/>
          <w:sz w:val="24"/>
          <w:szCs w:val="24"/>
        </w:rPr>
        <w:t>cyber</w:t>
      </w:r>
      <w:r w:rsidR="00642CE3">
        <w:rPr>
          <w:rFonts w:ascii="Times New Roman" w:hAnsi="Times New Roman" w:cs="Times New Roman"/>
          <w:sz w:val="24"/>
          <w:szCs w:val="24"/>
        </w:rPr>
        <w:t>b</w:t>
      </w:r>
      <w:r w:rsidRPr="00EB1A2A">
        <w:rPr>
          <w:rFonts w:ascii="Times New Roman" w:hAnsi="Times New Roman" w:cs="Times New Roman"/>
          <w:sz w:val="24"/>
          <w:szCs w:val="24"/>
        </w:rPr>
        <w:t>ezpieczeństwa</w:t>
      </w:r>
      <w:proofErr w:type="spellEnd"/>
      <w:r w:rsidRPr="00EB1A2A">
        <w:rPr>
          <w:rFonts w:ascii="Times New Roman" w:hAnsi="Times New Roman" w:cs="Times New Roman"/>
          <w:sz w:val="24"/>
          <w:szCs w:val="24"/>
        </w:rPr>
        <w:t xml:space="preserve"> wymaga wdrożenia rozwiązań na wszystkich jego poziomach. Pojawia się więc konieczność zapewnienia wzmocnienia infras</w:t>
      </w:r>
      <w:r w:rsidR="00A23395">
        <w:rPr>
          <w:rFonts w:ascii="Times New Roman" w:hAnsi="Times New Roman" w:cs="Times New Roman"/>
          <w:sz w:val="24"/>
          <w:szCs w:val="24"/>
        </w:rPr>
        <w:t>truktury przetwarzania danych i </w:t>
      </w:r>
      <w:r w:rsidRPr="00EB1A2A">
        <w:rPr>
          <w:rFonts w:ascii="Times New Roman" w:hAnsi="Times New Roman" w:cs="Times New Roman"/>
          <w:sz w:val="24"/>
          <w:szCs w:val="24"/>
        </w:rPr>
        <w:t>dostarczania usług cyfrowych na poziomie ogólnokrajowym, ale także lokalnym. Każde cyfrowe przedsięwzięcie rodzi konieczność ulepszeni</w:t>
      </w:r>
      <w:r w:rsidR="009F3FA8">
        <w:rPr>
          <w:rFonts w:ascii="Times New Roman" w:hAnsi="Times New Roman" w:cs="Times New Roman"/>
          <w:sz w:val="24"/>
          <w:szCs w:val="24"/>
        </w:rPr>
        <w:t>a</w:t>
      </w:r>
      <w:r w:rsidR="00A23395">
        <w:rPr>
          <w:rFonts w:ascii="Times New Roman" w:hAnsi="Times New Roman" w:cs="Times New Roman"/>
          <w:sz w:val="24"/>
          <w:szCs w:val="24"/>
        </w:rPr>
        <w:t xml:space="preserve"> mechanizmów bezpieczeństwa i </w:t>
      </w:r>
      <w:r w:rsidRPr="00EB1A2A">
        <w:rPr>
          <w:rFonts w:ascii="Times New Roman" w:hAnsi="Times New Roman" w:cs="Times New Roman"/>
          <w:sz w:val="24"/>
          <w:szCs w:val="24"/>
        </w:rPr>
        <w:t xml:space="preserve">promocji </w:t>
      </w:r>
      <w:proofErr w:type="spellStart"/>
      <w:r w:rsidRPr="00EB1A2A">
        <w:rPr>
          <w:rFonts w:ascii="Times New Roman" w:hAnsi="Times New Roman" w:cs="Times New Roman"/>
          <w:sz w:val="24"/>
          <w:szCs w:val="24"/>
        </w:rPr>
        <w:t>cyberhigieny</w:t>
      </w:r>
      <w:proofErr w:type="spellEnd"/>
      <w:r w:rsidRPr="00EB1A2A">
        <w:rPr>
          <w:rFonts w:ascii="Times New Roman" w:hAnsi="Times New Roman" w:cs="Times New Roman"/>
          <w:sz w:val="24"/>
          <w:szCs w:val="24"/>
        </w:rPr>
        <w:t xml:space="preserve"> na każdym etapie przetwarzania informacji. Ponadto jest to obszar, który cały czas się rozwija, stąd na podmiotach publicznych ciąży obowiązek ciągłego testowania i dostosowywania oferowanych e-usług z uwzględnieniem bieżącego ryzyka.</w:t>
      </w:r>
    </w:p>
    <w:p w14:paraId="53F44156" w14:textId="77777777" w:rsidR="000938E8" w:rsidRDefault="000938E8" w:rsidP="000938E8">
      <w:pPr>
        <w:ind w:firstLine="708"/>
        <w:jc w:val="both"/>
        <w:rPr>
          <w:rFonts w:ascii="Times New Roman" w:hAnsi="Times New Roman" w:cs="Times New Roman"/>
          <w:sz w:val="24"/>
          <w:szCs w:val="24"/>
        </w:rPr>
      </w:pPr>
    </w:p>
    <w:p w14:paraId="7C5C3862" w14:textId="683C7261" w:rsidR="001525B2" w:rsidRDefault="00C036C6" w:rsidP="001525B2">
      <w:pPr>
        <w:ind w:firstLine="708"/>
        <w:jc w:val="both"/>
        <w:rPr>
          <w:rFonts w:ascii="Times New Roman" w:hAnsi="Times New Roman" w:cs="Times New Roman"/>
          <w:sz w:val="24"/>
          <w:szCs w:val="24"/>
        </w:rPr>
      </w:pPr>
      <w:r w:rsidRPr="00C036C6">
        <w:rPr>
          <w:rFonts w:ascii="Times New Roman" w:hAnsi="Times New Roman" w:cs="Times New Roman"/>
          <w:sz w:val="24"/>
          <w:szCs w:val="24"/>
        </w:rPr>
        <w:t xml:space="preserve">W ramach wielu działań komponentu A projektu KPO „Odporność i konkurencyjność gospodarki” zaplanowano m.in. reformę planowania i zagospodarowania przestrzennego. </w:t>
      </w:r>
      <w:r w:rsidR="001525B2" w:rsidRPr="001525B2">
        <w:rPr>
          <w:rFonts w:ascii="Times New Roman" w:hAnsi="Times New Roman" w:cs="Times New Roman"/>
          <w:sz w:val="24"/>
          <w:szCs w:val="24"/>
        </w:rPr>
        <w:t>Obecny stan prawny w obszarze planowania przestrzennego w Polsce jest od wielu lat wysoce niezadowalającym kompromisem dla wszystkich interesariuszy tego procesu. Planowanie przestrzenne nie jest odrębnym bytem materialny</w:t>
      </w:r>
      <w:r w:rsidR="001525B2">
        <w:rPr>
          <w:rFonts w:ascii="Times New Roman" w:hAnsi="Times New Roman" w:cs="Times New Roman"/>
          <w:sz w:val="24"/>
          <w:szCs w:val="24"/>
        </w:rPr>
        <w:t>m</w:t>
      </w:r>
      <w:r w:rsidR="001525B2" w:rsidRPr="001525B2">
        <w:rPr>
          <w:rFonts w:ascii="Times New Roman" w:hAnsi="Times New Roman" w:cs="Times New Roman"/>
          <w:sz w:val="24"/>
          <w:szCs w:val="24"/>
        </w:rPr>
        <w:t xml:space="preserve"> ani prawnym</w:t>
      </w:r>
      <w:r w:rsidR="001525B2">
        <w:rPr>
          <w:rFonts w:ascii="Times New Roman" w:hAnsi="Times New Roman" w:cs="Times New Roman"/>
          <w:sz w:val="24"/>
          <w:szCs w:val="24"/>
        </w:rPr>
        <w:t xml:space="preserve"> - j</w:t>
      </w:r>
      <w:r w:rsidR="001525B2" w:rsidRPr="001525B2">
        <w:rPr>
          <w:rFonts w:ascii="Times New Roman" w:hAnsi="Times New Roman" w:cs="Times New Roman"/>
          <w:sz w:val="24"/>
          <w:szCs w:val="24"/>
        </w:rPr>
        <w:t>est kluczowym elementem kształtowania rozwoju</w:t>
      </w:r>
      <w:r w:rsidR="001525B2">
        <w:rPr>
          <w:rFonts w:ascii="Times New Roman" w:hAnsi="Times New Roman" w:cs="Times New Roman"/>
          <w:sz w:val="24"/>
          <w:szCs w:val="24"/>
        </w:rPr>
        <w:t xml:space="preserve">. </w:t>
      </w:r>
      <w:r w:rsidR="001525B2" w:rsidRPr="001525B2">
        <w:rPr>
          <w:rFonts w:ascii="Times New Roman" w:hAnsi="Times New Roman" w:cs="Times New Roman"/>
          <w:sz w:val="24"/>
          <w:szCs w:val="24"/>
        </w:rPr>
        <w:t xml:space="preserve">Proponowane zmiany i reformy w tej istotnej dziedzinie są </w:t>
      </w:r>
      <w:r w:rsidR="001525B2">
        <w:rPr>
          <w:rFonts w:ascii="Times New Roman" w:hAnsi="Times New Roman" w:cs="Times New Roman"/>
          <w:sz w:val="24"/>
          <w:szCs w:val="24"/>
        </w:rPr>
        <w:t xml:space="preserve">wysoce </w:t>
      </w:r>
      <w:r w:rsidR="001525B2" w:rsidRPr="001525B2">
        <w:rPr>
          <w:rFonts w:ascii="Times New Roman" w:hAnsi="Times New Roman" w:cs="Times New Roman"/>
          <w:sz w:val="24"/>
          <w:szCs w:val="24"/>
        </w:rPr>
        <w:t>pożądane</w:t>
      </w:r>
      <w:r w:rsidR="001525B2">
        <w:rPr>
          <w:rFonts w:ascii="Times New Roman" w:hAnsi="Times New Roman" w:cs="Times New Roman"/>
          <w:sz w:val="24"/>
          <w:szCs w:val="24"/>
        </w:rPr>
        <w:t>,</w:t>
      </w:r>
      <w:r w:rsidR="001525B2" w:rsidRPr="001525B2">
        <w:rPr>
          <w:rFonts w:ascii="Times New Roman" w:hAnsi="Times New Roman" w:cs="Times New Roman"/>
          <w:sz w:val="24"/>
          <w:szCs w:val="24"/>
        </w:rPr>
        <w:t xml:space="preserve"> ale muszą być wprowadzone rozważnie po wyprzedzającym przyjęciu w kraju dokumentu określającego diagnozę stanu przestrzeni, problemów i ich przyczyn oraz celów do osiągnięcia. Stan polskiej przestrzeni</w:t>
      </w:r>
      <w:r w:rsidR="001525B2">
        <w:rPr>
          <w:rFonts w:ascii="Times New Roman" w:hAnsi="Times New Roman" w:cs="Times New Roman"/>
          <w:sz w:val="24"/>
          <w:szCs w:val="24"/>
        </w:rPr>
        <w:t xml:space="preserve"> oraz </w:t>
      </w:r>
      <w:r w:rsidR="001525B2" w:rsidRPr="001525B2">
        <w:rPr>
          <w:rFonts w:ascii="Times New Roman" w:hAnsi="Times New Roman" w:cs="Times New Roman"/>
          <w:sz w:val="24"/>
          <w:szCs w:val="24"/>
        </w:rPr>
        <w:t>zmiany jaki</w:t>
      </w:r>
      <w:r w:rsidR="00A23395">
        <w:rPr>
          <w:rFonts w:ascii="Times New Roman" w:hAnsi="Times New Roman" w:cs="Times New Roman"/>
          <w:sz w:val="24"/>
          <w:szCs w:val="24"/>
        </w:rPr>
        <w:t>e zaszły, w </w:t>
      </w:r>
      <w:r w:rsidR="001525B2">
        <w:rPr>
          <w:rFonts w:ascii="Times New Roman" w:hAnsi="Times New Roman" w:cs="Times New Roman"/>
          <w:sz w:val="24"/>
          <w:szCs w:val="24"/>
        </w:rPr>
        <w:t xml:space="preserve">odczuciu wielu są </w:t>
      </w:r>
      <w:r w:rsidR="001525B2" w:rsidRPr="001525B2">
        <w:rPr>
          <w:rFonts w:ascii="Times New Roman" w:hAnsi="Times New Roman" w:cs="Times New Roman"/>
          <w:sz w:val="24"/>
          <w:szCs w:val="24"/>
        </w:rPr>
        <w:t>katastrofaln</w:t>
      </w:r>
      <w:r w:rsidR="001525B2">
        <w:rPr>
          <w:rFonts w:ascii="Times New Roman" w:hAnsi="Times New Roman" w:cs="Times New Roman"/>
          <w:sz w:val="24"/>
          <w:szCs w:val="24"/>
        </w:rPr>
        <w:t>e,</w:t>
      </w:r>
      <w:r w:rsidR="001525B2" w:rsidRPr="001525B2">
        <w:rPr>
          <w:rFonts w:ascii="Times New Roman" w:hAnsi="Times New Roman" w:cs="Times New Roman"/>
          <w:sz w:val="24"/>
          <w:szCs w:val="24"/>
        </w:rPr>
        <w:t xml:space="preserve"> a zapaść </w:t>
      </w:r>
      <w:r w:rsidR="001525B2">
        <w:rPr>
          <w:rFonts w:ascii="Times New Roman" w:hAnsi="Times New Roman" w:cs="Times New Roman"/>
          <w:sz w:val="24"/>
          <w:szCs w:val="24"/>
        </w:rPr>
        <w:t xml:space="preserve">w tym obszarze </w:t>
      </w:r>
      <w:r w:rsidR="001525B2" w:rsidRPr="001525B2">
        <w:rPr>
          <w:rFonts w:ascii="Times New Roman" w:hAnsi="Times New Roman" w:cs="Times New Roman"/>
          <w:sz w:val="24"/>
          <w:szCs w:val="24"/>
        </w:rPr>
        <w:t>pogłębia się z każdym rokiem.  Przedstawiane</w:t>
      </w:r>
      <w:r w:rsidR="001525B2">
        <w:rPr>
          <w:rFonts w:ascii="Times New Roman" w:hAnsi="Times New Roman" w:cs="Times New Roman"/>
          <w:sz w:val="24"/>
          <w:szCs w:val="24"/>
        </w:rPr>
        <w:t xml:space="preserve"> w projekcie KPO</w:t>
      </w:r>
      <w:r w:rsidR="001525B2" w:rsidRPr="001525B2">
        <w:rPr>
          <w:rFonts w:ascii="Times New Roman" w:hAnsi="Times New Roman" w:cs="Times New Roman"/>
          <w:sz w:val="24"/>
          <w:szCs w:val="24"/>
        </w:rPr>
        <w:t xml:space="preserve"> recepty dotykają problemów, poprawiają wybrane elementy systemu planowania przestrzennego</w:t>
      </w:r>
      <w:r w:rsidR="001525B2">
        <w:rPr>
          <w:rFonts w:ascii="Times New Roman" w:hAnsi="Times New Roman" w:cs="Times New Roman"/>
          <w:sz w:val="24"/>
          <w:szCs w:val="24"/>
        </w:rPr>
        <w:t>,</w:t>
      </w:r>
      <w:r w:rsidR="001525B2" w:rsidRPr="001525B2">
        <w:rPr>
          <w:rFonts w:ascii="Times New Roman" w:hAnsi="Times New Roman" w:cs="Times New Roman"/>
          <w:sz w:val="24"/>
          <w:szCs w:val="24"/>
        </w:rPr>
        <w:t xml:space="preserve"> jednak docelowo </w:t>
      </w:r>
      <w:r w:rsidR="001525B2">
        <w:rPr>
          <w:rFonts w:ascii="Times New Roman" w:hAnsi="Times New Roman" w:cs="Times New Roman"/>
          <w:sz w:val="24"/>
          <w:szCs w:val="24"/>
        </w:rPr>
        <w:t xml:space="preserve">naszym zdaniem nie pozwolą uzyskać </w:t>
      </w:r>
      <w:r w:rsidR="001525B2" w:rsidRPr="001525B2">
        <w:rPr>
          <w:rFonts w:ascii="Times New Roman" w:hAnsi="Times New Roman" w:cs="Times New Roman"/>
          <w:sz w:val="24"/>
          <w:szCs w:val="24"/>
        </w:rPr>
        <w:t xml:space="preserve"> </w:t>
      </w:r>
      <w:r w:rsidR="001525B2">
        <w:rPr>
          <w:rFonts w:ascii="Times New Roman" w:hAnsi="Times New Roman" w:cs="Times New Roman"/>
          <w:sz w:val="24"/>
          <w:szCs w:val="24"/>
        </w:rPr>
        <w:t xml:space="preserve">oczekiwanego przez wszystkich pozytywnego </w:t>
      </w:r>
      <w:r w:rsidR="001525B2" w:rsidRPr="001525B2">
        <w:rPr>
          <w:rFonts w:ascii="Times New Roman" w:hAnsi="Times New Roman" w:cs="Times New Roman"/>
          <w:sz w:val="24"/>
          <w:szCs w:val="24"/>
        </w:rPr>
        <w:t>efektu ca</w:t>
      </w:r>
      <w:r w:rsidR="001525B2">
        <w:rPr>
          <w:rFonts w:ascii="Times New Roman" w:hAnsi="Times New Roman" w:cs="Times New Roman"/>
          <w:sz w:val="24"/>
          <w:szCs w:val="24"/>
        </w:rPr>
        <w:t xml:space="preserve">łościowego. </w:t>
      </w:r>
      <w:r w:rsidR="001525B2" w:rsidRPr="001525B2">
        <w:rPr>
          <w:rFonts w:ascii="Times New Roman" w:hAnsi="Times New Roman" w:cs="Times New Roman"/>
          <w:sz w:val="24"/>
          <w:szCs w:val="24"/>
        </w:rPr>
        <w:t>Założone wykonanie planów ogólnych we wszystkich gminach nie zlikwiduje problemu rozlewania się zabudowy. Zajmowanie pod zabudowę kolejnych pól i lasów ma miejsce ponieważ łatwiej jest zagospodarować dziewiczy teren o nieskomplikowanej strukturze własności niż na nowo urządzić tereny poprzemysłowe, obszary zdekapitalizowanej zabudowy czy o rozdrobnion</w:t>
      </w:r>
      <w:r w:rsidR="001525B2">
        <w:rPr>
          <w:rFonts w:ascii="Times New Roman" w:hAnsi="Times New Roman" w:cs="Times New Roman"/>
          <w:sz w:val="24"/>
          <w:szCs w:val="24"/>
        </w:rPr>
        <w:t>ej strukturze własności. Plan</w:t>
      </w:r>
      <w:r w:rsidR="001525B2" w:rsidRPr="001525B2">
        <w:rPr>
          <w:rFonts w:ascii="Times New Roman" w:hAnsi="Times New Roman" w:cs="Times New Roman"/>
          <w:sz w:val="24"/>
          <w:szCs w:val="24"/>
        </w:rPr>
        <w:t xml:space="preserve"> powinien jednoznacznie wskaz</w:t>
      </w:r>
      <w:r w:rsidR="001525B2">
        <w:rPr>
          <w:rFonts w:ascii="Times New Roman" w:hAnsi="Times New Roman" w:cs="Times New Roman"/>
          <w:sz w:val="24"/>
          <w:szCs w:val="24"/>
        </w:rPr>
        <w:t>ywać, że będzie opłacało</w:t>
      </w:r>
      <w:r w:rsidR="001525B2" w:rsidRPr="001525B2">
        <w:rPr>
          <w:rFonts w:ascii="Times New Roman" w:hAnsi="Times New Roman" w:cs="Times New Roman"/>
          <w:sz w:val="24"/>
          <w:szCs w:val="24"/>
        </w:rPr>
        <w:t xml:space="preserve"> się wydać większe pieniądze na odzyskiwanie starych terenów, które położone są w już zurbanizowanej strukturze niż wydzielać nowe tereny na obrzeżach miast, budować do nich nową infrastrukturę i tracić połacie zielone. </w:t>
      </w:r>
      <w:r w:rsidR="001525B2">
        <w:rPr>
          <w:rFonts w:ascii="Times New Roman" w:hAnsi="Times New Roman" w:cs="Times New Roman"/>
          <w:sz w:val="24"/>
          <w:szCs w:val="24"/>
        </w:rPr>
        <w:t xml:space="preserve">Gminy nie będą wycofywały się </w:t>
      </w:r>
      <w:r w:rsidR="001525B2" w:rsidRPr="001525B2">
        <w:rPr>
          <w:rFonts w:ascii="Times New Roman" w:hAnsi="Times New Roman" w:cs="Times New Roman"/>
          <w:sz w:val="24"/>
          <w:szCs w:val="24"/>
        </w:rPr>
        <w:t>też z już raz wyznaczonych terenów inwestycyjnych</w:t>
      </w:r>
      <w:r w:rsidR="001525B2">
        <w:rPr>
          <w:rFonts w:ascii="Times New Roman" w:hAnsi="Times New Roman" w:cs="Times New Roman"/>
          <w:sz w:val="24"/>
          <w:szCs w:val="24"/>
        </w:rPr>
        <w:t>,</w:t>
      </w:r>
      <w:r w:rsidR="001525B2" w:rsidRPr="001525B2">
        <w:rPr>
          <w:rFonts w:ascii="Times New Roman" w:hAnsi="Times New Roman" w:cs="Times New Roman"/>
          <w:sz w:val="24"/>
          <w:szCs w:val="24"/>
        </w:rPr>
        <w:t xml:space="preserve"> mając na uwadze to co stało się z roszczeniami odszkodowawczymi po uchyleniu istniejących w XX wieku planów ogólnych. Tylko odgórne reg</w:t>
      </w:r>
      <w:r w:rsidR="001525B2">
        <w:rPr>
          <w:rFonts w:ascii="Times New Roman" w:hAnsi="Times New Roman" w:cs="Times New Roman"/>
          <w:sz w:val="24"/>
          <w:szCs w:val="24"/>
        </w:rPr>
        <w:t>ulacje krajowe i wzięcie przez P</w:t>
      </w:r>
      <w:r w:rsidR="001525B2" w:rsidRPr="001525B2">
        <w:rPr>
          <w:rFonts w:ascii="Times New Roman" w:hAnsi="Times New Roman" w:cs="Times New Roman"/>
          <w:sz w:val="24"/>
          <w:szCs w:val="24"/>
        </w:rPr>
        <w:t xml:space="preserve">aństwo odpowiedzialności za „odebranie” nadmiarowych terenów budowlanych mogłoby zmienić sytuację. Można posłużyć się sprawdzonymi mechanizmami ekonomicznymi, które skutecznie działają na obywateli. Niewprowadzony od lat, a </w:t>
      </w:r>
      <w:r w:rsidR="00A17554">
        <w:rPr>
          <w:rFonts w:ascii="Times New Roman" w:hAnsi="Times New Roman" w:cs="Times New Roman"/>
          <w:sz w:val="24"/>
          <w:szCs w:val="24"/>
        </w:rPr>
        <w:t xml:space="preserve">obowiązujący w innych krajach, </w:t>
      </w:r>
      <w:r w:rsidR="001525B2" w:rsidRPr="001525B2">
        <w:rPr>
          <w:rFonts w:ascii="Times New Roman" w:hAnsi="Times New Roman" w:cs="Times New Roman"/>
          <w:sz w:val="24"/>
          <w:szCs w:val="24"/>
        </w:rPr>
        <w:t xml:space="preserve">podatek katastralny jest w stanie spowodować taką zmianę, która wymusi racjonalne podejście do przestrzeni. Odwlekanie tej decyzji może </w:t>
      </w:r>
      <w:r w:rsidR="001525B2" w:rsidRPr="001525B2">
        <w:rPr>
          <w:rFonts w:ascii="Times New Roman" w:hAnsi="Times New Roman" w:cs="Times New Roman"/>
          <w:sz w:val="24"/>
          <w:szCs w:val="24"/>
        </w:rPr>
        <w:lastRenderedPageBreak/>
        <w:t xml:space="preserve">doprowadzić do bezpowrotnej utraty szansy na przywrócenia ładu przestrzennego w Polsce. Proponowany w KPO ostateczny termin wdrożenia reformy planowania przestrzennego na połowę 2026 r. uważamy za mało realny, biorąc pod uwagę skalę koniecznych działań. Wyzwanie jakim jest zmniejszenie konfliktów przestrzennych oraz ograniczenie kosztów powodowanych przez </w:t>
      </w:r>
      <w:proofErr w:type="spellStart"/>
      <w:r w:rsidR="001525B2" w:rsidRPr="001525B2">
        <w:rPr>
          <w:rFonts w:ascii="Times New Roman" w:hAnsi="Times New Roman" w:cs="Times New Roman"/>
          <w:sz w:val="24"/>
          <w:szCs w:val="24"/>
        </w:rPr>
        <w:t>suburbanizację</w:t>
      </w:r>
      <w:proofErr w:type="spellEnd"/>
      <w:r w:rsidR="001525B2" w:rsidRPr="001525B2">
        <w:rPr>
          <w:rFonts w:ascii="Times New Roman" w:hAnsi="Times New Roman" w:cs="Times New Roman"/>
          <w:sz w:val="24"/>
          <w:szCs w:val="24"/>
        </w:rPr>
        <w:t xml:space="preserve"> nie zostanie osiągnięte bez odpowiednich regulacji ustawowych, a może </w:t>
      </w:r>
      <w:r w:rsidR="001525B2">
        <w:rPr>
          <w:rFonts w:ascii="Times New Roman" w:hAnsi="Times New Roman" w:cs="Times New Roman"/>
          <w:sz w:val="24"/>
          <w:szCs w:val="24"/>
        </w:rPr>
        <w:t xml:space="preserve">i </w:t>
      </w:r>
      <w:r w:rsidR="001525B2" w:rsidRPr="001525B2">
        <w:rPr>
          <w:rFonts w:ascii="Times New Roman" w:hAnsi="Times New Roman" w:cs="Times New Roman"/>
          <w:sz w:val="24"/>
          <w:szCs w:val="24"/>
        </w:rPr>
        <w:t>konstytucyjnych</w:t>
      </w:r>
      <w:r w:rsidR="001525B2">
        <w:rPr>
          <w:rFonts w:ascii="Times New Roman" w:hAnsi="Times New Roman" w:cs="Times New Roman"/>
          <w:sz w:val="24"/>
          <w:szCs w:val="24"/>
        </w:rPr>
        <w:t>. Plan</w:t>
      </w:r>
      <w:r w:rsidR="001525B2" w:rsidRPr="001525B2">
        <w:rPr>
          <w:rFonts w:ascii="Times New Roman" w:hAnsi="Times New Roman" w:cs="Times New Roman"/>
          <w:sz w:val="24"/>
          <w:szCs w:val="24"/>
        </w:rPr>
        <w:t xml:space="preserve"> w przedstawionej wersji nie wskazuje takich rozwiązań.</w:t>
      </w:r>
    </w:p>
    <w:p w14:paraId="5E6E95C5" w14:textId="5F8C618C" w:rsidR="00423BDD" w:rsidRPr="00423BDD" w:rsidRDefault="00A83BC8" w:rsidP="00A83BC8">
      <w:pPr>
        <w:pStyle w:val="NormalnyWeb"/>
        <w:ind w:firstLine="708"/>
        <w:jc w:val="both"/>
        <w:rPr>
          <w:bCs/>
        </w:rPr>
      </w:pPr>
      <w:r>
        <w:rPr>
          <w:bCs/>
        </w:rPr>
        <w:t>W projekcie KPO</w:t>
      </w:r>
      <w:r w:rsidR="00423BDD" w:rsidRPr="009F3FA8">
        <w:rPr>
          <w:bCs/>
        </w:rPr>
        <w:t xml:space="preserve"> w bardzo silny sposób akcentuje się rozwój kolejowych przewozów towarów i transportu intermodalnego w celu zwiększenia udziału zrównoważonych środków transportu oraz zmniejszenia ich presji na środowisko. Podejmowane inwestycje będą obejmowały zarówno działania punktowe w obszarze budowy, rozbudowy i unowocześnienia terminali przeładunkowych, bocznic prowadzących do termi</w:t>
      </w:r>
      <w:r w:rsidR="00A23395">
        <w:rPr>
          <w:bCs/>
        </w:rPr>
        <w:t>nali i bocznic w terminalach, a </w:t>
      </w:r>
      <w:r w:rsidR="00423BDD" w:rsidRPr="009F3FA8">
        <w:rPr>
          <w:bCs/>
        </w:rPr>
        <w:t xml:space="preserve">także </w:t>
      </w:r>
      <w:r>
        <w:rPr>
          <w:bCs/>
        </w:rPr>
        <w:t xml:space="preserve">inwestycje </w:t>
      </w:r>
      <w:r w:rsidR="00773816">
        <w:rPr>
          <w:bCs/>
        </w:rPr>
        <w:t xml:space="preserve">w obszarze </w:t>
      </w:r>
      <w:r w:rsidR="00423BDD" w:rsidRPr="009F3FA8">
        <w:rPr>
          <w:bCs/>
        </w:rPr>
        <w:t>urządzeń wykorzystywanych do przeładunku. Realizowane działania będą skoncentrowane na terminalach drogowo-kolejowych zlokalizowanych na sieci TEN-T. Niestety w ramach tych inwestycji nie wskazuje się na możliwość budowy sprawnych i efektywnych (również środowiskowo) połączeń drogowych pomiędzy rozwijanymi terminalami drogowo-kolejowymi a systemem dróg krajowych. Zapew</w:t>
      </w:r>
      <w:r w:rsidR="00A23395">
        <w:rPr>
          <w:bCs/>
        </w:rPr>
        <w:t>nienie w </w:t>
      </w:r>
      <w:r w:rsidR="00423BDD" w:rsidRPr="009F3FA8">
        <w:rPr>
          <w:bCs/>
        </w:rPr>
        <w:t xml:space="preserve">KPO możliwości realizacji takich inwestycji drogowych </w:t>
      </w:r>
      <w:r w:rsidR="00773816">
        <w:rPr>
          <w:bCs/>
        </w:rPr>
        <w:t>byłoby</w:t>
      </w:r>
      <w:r w:rsidR="00423BDD" w:rsidRPr="009F3FA8">
        <w:rPr>
          <w:bCs/>
        </w:rPr>
        <w:t xml:space="preserve"> niezbędne dla uzyskania odpowiedniego efektu synergii planowanych interwencji na rzecz rozwoju systemów intermodalnego transportu. Brak w </w:t>
      </w:r>
      <w:r w:rsidR="00773816">
        <w:rPr>
          <w:bCs/>
        </w:rPr>
        <w:t xml:space="preserve">projekcie </w:t>
      </w:r>
      <w:r w:rsidR="00423BDD" w:rsidRPr="009F3FA8">
        <w:rPr>
          <w:bCs/>
        </w:rPr>
        <w:t>KPO wsparcia budowy takich połączeń drogowych przyczyni się do niewykorzystania w pe</w:t>
      </w:r>
      <w:r w:rsidR="00A23395">
        <w:rPr>
          <w:bCs/>
        </w:rPr>
        <w:t>łni podejmowanych interwencji w </w:t>
      </w:r>
      <w:r w:rsidR="00423BDD" w:rsidRPr="009F3FA8">
        <w:rPr>
          <w:bCs/>
        </w:rPr>
        <w:t>transport kolejowy i intermodalny.</w:t>
      </w:r>
    </w:p>
    <w:p w14:paraId="63414A63" w14:textId="5BBCBB19" w:rsidR="00FD1E81" w:rsidRPr="00EB1A2A" w:rsidRDefault="00FD1E81" w:rsidP="00773816">
      <w:pPr>
        <w:pStyle w:val="NormalnyWeb"/>
        <w:ind w:firstLine="708"/>
        <w:jc w:val="both"/>
        <w:rPr>
          <w:bCs/>
        </w:rPr>
      </w:pPr>
      <w:r w:rsidRPr="00EB1A2A">
        <w:rPr>
          <w:bCs/>
        </w:rPr>
        <w:t>Konstrukcja</w:t>
      </w:r>
      <w:r w:rsidR="00EB1A2A">
        <w:rPr>
          <w:bCs/>
        </w:rPr>
        <w:t xml:space="preserve"> konsultowanego projektu</w:t>
      </w:r>
      <w:r w:rsidRPr="00EB1A2A">
        <w:rPr>
          <w:bCs/>
        </w:rPr>
        <w:t xml:space="preserve"> dokumentu KPO </w:t>
      </w:r>
      <w:r w:rsidR="00773816">
        <w:rPr>
          <w:bCs/>
        </w:rPr>
        <w:t xml:space="preserve">niestety </w:t>
      </w:r>
      <w:r w:rsidRPr="00EB1A2A">
        <w:rPr>
          <w:bCs/>
        </w:rPr>
        <w:t xml:space="preserve">jednoznacznie wskazuje na jego mocno scentralizowany charakter, zakładający dominującą (jeśli nie monopolistyczną) rolę podmiotów rządowych (ministerstw, agencji) </w:t>
      </w:r>
      <w:r w:rsidR="00773816">
        <w:rPr>
          <w:bCs/>
        </w:rPr>
        <w:t xml:space="preserve">- </w:t>
      </w:r>
      <w:r w:rsidRPr="00EB1A2A">
        <w:rPr>
          <w:bCs/>
        </w:rPr>
        <w:t>jako jedynych</w:t>
      </w:r>
      <w:r w:rsidR="00EB1A2A">
        <w:rPr>
          <w:bCs/>
        </w:rPr>
        <w:t xml:space="preserve"> istotnych</w:t>
      </w:r>
      <w:r w:rsidRPr="00EB1A2A">
        <w:rPr>
          <w:bCs/>
        </w:rPr>
        <w:t xml:space="preserve"> dysponentów środków przewidzianych w progra</w:t>
      </w:r>
      <w:r w:rsidRPr="00773816">
        <w:rPr>
          <w:bCs/>
        </w:rPr>
        <w:t>mie</w:t>
      </w:r>
      <w:r w:rsidR="00423BDD" w:rsidRPr="00773816">
        <w:rPr>
          <w:bCs/>
        </w:rPr>
        <w:t xml:space="preserve"> (</w:t>
      </w:r>
      <w:r w:rsidR="00773816" w:rsidRPr="00773816">
        <w:rPr>
          <w:bCs/>
        </w:rPr>
        <w:t>świadczy o tym również proponowany</w:t>
      </w:r>
      <w:r w:rsidR="00423BDD" w:rsidRPr="00773816">
        <w:rPr>
          <w:bCs/>
        </w:rPr>
        <w:t xml:space="preserve"> skład </w:t>
      </w:r>
      <w:r w:rsidR="000E7239" w:rsidRPr="00773816">
        <w:rPr>
          <w:bCs/>
        </w:rPr>
        <w:t>Komitetu Monitorującego KPO</w:t>
      </w:r>
      <w:r w:rsidR="00423BDD" w:rsidRPr="00773816">
        <w:rPr>
          <w:bCs/>
        </w:rPr>
        <w:t>, który</w:t>
      </w:r>
      <w:r w:rsidR="00202E7A" w:rsidRPr="00773816">
        <w:rPr>
          <w:bCs/>
        </w:rPr>
        <w:t xml:space="preserve"> według założeń ma</w:t>
      </w:r>
      <w:r w:rsidR="00423BDD" w:rsidRPr="00773816">
        <w:rPr>
          <w:bCs/>
        </w:rPr>
        <w:t xml:space="preserve"> </w:t>
      </w:r>
      <w:r w:rsidR="00773816" w:rsidRPr="00773816">
        <w:rPr>
          <w:bCs/>
        </w:rPr>
        <w:t>uwzględniać</w:t>
      </w:r>
      <w:r w:rsidR="00423BDD" w:rsidRPr="00773816">
        <w:rPr>
          <w:bCs/>
        </w:rPr>
        <w:t xml:space="preserve"> </w:t>
      </w:r>
      <w:r w:rsidR="000E7239" w:rsidRPr="00773816">
        <w:rPr>
          <w:bCs/>
        </w:rPr>
        <w:t>wyłącznie przedstawicieli strony rządowej</w:t>
      </w:r>
      <w:r w:rsidR="00773816">
        <w:rPr>
          <w:bCs/>
        </w:rPr>
        <w:t xml:space="preserve"> - </w:t>
      </w:r>
      <w:r w:rsidR="00423BDD" w:rsidRPr="00773816">
        <w:rPr>
          <w:bCs/>
        </w:rPr>
        <w:t>w odróżnieniu od dotychczasowej p</w:t>
      </w:r>
      <w:r w:rsidR="00773816" w:rsidRPr="00773816">
        <w:rPr>
          <w:bCs/>
        </w:rPr>
        <w:t xml:space="preserve">raktyki, wedle której </w:t>
      </w:r>
      <w:r w:rsidR="00423BDD" w:rsidRPr="00773816">
        <w:rPr>
          <w:bCs/>
        </w:rPr>
        <w:t>w</w:t>
      </w:r>
      <w:r w:rsidR="000E7239" w:rsidRPr="00773816">
        <w:rPr>
          <w:bCs/>
        </w:rPr>
        <w:t xml:space="preserve"> </w:t>
      </w:r>
      <w:r w:rsidR="00773816">
        <w:rPr>
          <w:bCs/>
        </w:rPr>
        <w:t xml:space="preserve">tego typu gremiach </w:t>
      </w:r>
      <w:r w:rsidR="000E7239" w:rsidRPr="00773816">
        <w:rPr>
          <w:bCs/>
        </w:rPr>
        <w:t>zasiadali</w:t>
      </w:r>
      <w:r w:rsidR="00423BDD" w:rsidRPr="00773816">
        <w:rPr>
          <w:bCs/>
        </w:rPr>
        <w:t xml:space="preserve"> również</w:t>
      </w:r>
      <w:r w:rsidR="000E7239" w:rsidRPr="00773816">
        <w:rPr>
          <w:bCs/>
        </w:rPr>
        <w:t xml:space="preserve"> przedstawiciele organizacji samorządu terytorialnego czy też organizacji społecznych</w:t>
      </w:r>
      <w:r w:rsidR="00423BDD" w:rsidRPr="00773816">
        <w:rPr>
          <w:bCs/>
        </w:rPr>
        <w:t>)</w:t>
      </w:r>
      <w:r w:rsidR="000E7239" w:rsidRPr="00773816">
        <w:rPr>
          <w:bCs/>
        </w:rPr>
        <w:t>.</w:t>
      </w:r>
      <w:r w:rsidR="00423BDD">
        <w:rPr>
          <w:bCs/>
        </w:rPr>
        <w:t xml:space="preserve"> </w:t>
      </w:r>
      <w:r w:rsidRPr="00A729C2">
        <w:rPr>
          <w:bCs/>
        </w:rPr>
        <w:t>Zupełnie pominięto fakt, iż na przestrzeni lat 2010-2019 proporcje udziałów w realizowanych inwestycjach</w:t>
      </w:r>
      <w:r w:rsidR="00EB1A2A">
        <w:rPr>
          <w:bCs/>
        </w:rPr>
        <w:t xml:space="preserve"> publicznych,</w:t>
      </w:r>
      <w:r w:rsidR="00A23395">
        <w:rPr>
          <w:bCs/>
        </w:rPr>
        <w:t xml:space="preserve"> sektora rządowego i </w:t>
      </w:r>
      <w:r w:rsidRPr="00EB1A2A">
        <w:rPr>
          <w:bCs/>
        </w:rPr>
        <w:t>samorządowego rozkładały się niemal równomiernie, a udział tego ostatniego wahał się we wskazanym okresie w przedziale od 46% do 59,9%</w:t>
      </w:r>
      <w:r w:rsidRPr="00EB1A2A">
        <w:rPr>
          <w:bCs/>
          <w:vertAlign w:val="superscript"/>
        </w:rPr>
        <w:footnoteReference w:id="1"/>
      </w:r>
      <w:r w:rsidRPr="00EB1A2A">
        <w:rPr>
          <w:bCs/>
        </w:rPr>
        <w:t>. Nadmieniamy</w:t>
      </w:r>
      <w:r w:rsidR="00EB1A2A">
        <w:rPr>
          <w:bCs/>
        </w:rPr>
        <w:t>,</w:t>
      </w:r>
      <w:r w:rsidRPr="00EB1A2A">
        <w:rPr>
          <w:bCs/>
        </w:rPr>
        <w:t xml:space="preserve"> iż realizacja wielu przewidzianych działań planowana jest na obszarach jednostek samorząd</w:t>
      </w:r>
      <w:r w:rsidR="00EB1A2A">
        <w:rPr>
          <w:bCs/>
        </w:rPr>
        <w:t>u</w:t>
      </w:r>
      <w:r w:rsidRPr="00EB1A2A">
        <w:rPr>
          <w:bCs/>
        </w:rPr>
        <w:t xml:space="preserve"> terytorialnego, ale poza ich udziałem</w:t>
      </w:r>
      <w:r w:rsidR="00EB1A2A">
        <w:rPr>
          <w:bCs/>
        </w:rPr>
        <w:t xml:space="preserve"> w roli beneficjentów</w:t>
      </w:r>
      <w:r w:rsidRPr="00EB1A2A">
        <w:rPr>
          <w:bCs/>
        </w:rPr>
        <w:t>.</w:t>
      </w:r>
    </w:p>
    <w:p w14:paraId="5DB21458" w14:textId="10D2FA60" w:rsidR="00757BED" w:rsidRDefault="00200690" w:rsidP="00757BED">
      <w:pPr>
        <w:pStyle w:val="NormalnyWeb"/>
        <w:ind w:firstLine="708"/>
        <w:jc w:val="both"/>
        <w:rPr>
          <w:bCs/>
        </w:rPr>
      </w:pPr>
      <w:r w:rsidRPr="00773816">
        <w:rPr>
          <w:bCs/>
        </w:rPr>
        <w:t>Zwracamy uwagę</w:t>
      </w:r>
      <w:r w:rsidR="00916DED">
        <w:rPr>
          <w:bCs/>
        </w:rPr>
        <w:t>,</w:t>
      </w:r>
      <w:r w:rsidRPr="00773816">
        <w:rPr>
          <w:bCs/>
        </w:rPr>
        <w:t xml:space="preserve"> iż co do zasady środki z</w:t>
      </w:r>
      <w:r w:rsidR="00560136" w:rsidRPr="00773816">
        <w:rPr>
          <w:bCs/>
        </w:rPr>
        <w:t xml:space="preserve"> KPO</w:t>
      </w:r>
      <w:r w:rsidRPr="00773816">
        <w:rPr>
          <w:bCs/>
        </w:rPr>
        <w:t xml:space="preserve"> powinny zostać przeznaczone na przeciwdziałanie skutkom pandemii COVID-19 i</w:t>
      </w:r>
      <w:r w:rsidR="00560136" w:rsidRPr="00773816">
        <w:rPr>
          <w:bCs/>
        </w:rPr>
        <w:t xml:space="preserve"> </w:t>
      </w:r>
      <w:r w:rsidR="00773816" w:rsidRPr="00773816">
        <w:rPr>
          <w:bCs/>
        </w:rPr>
        <w:t xml:space="preserve">– </w:t>
      </w:r>
      <w:r w:rsidR="00560136" w:rsidRPr="00773816">
        <w:rPr>
          <w:bCs/>
        </w:rPr>
        <w:t xml:space="preserve"> </w:t>
      </w:r>
      <w:r w:rsidRPr="00773816">
        <w:rPr>
          <w:bCs/>
        </w:rPr>
        <w:t>co istotniejsze</w:t>
      </w:r>
      <w:r w:rsidR="00560136" w:rsidRPr="00773816">
        <w:rPr>
          <w:bCs/>
        </w:rPr>
        <w:t xml:space="preserve"> – na finansowanie </w:t>
      </w:r>
      <w:r w:rsidRPr="00773816">
        <w:rPr>
          <w:bCs/>
        </w:rPr>
        <w:t>działa</w:t>
      </w:r>
      <w:r w:rsidR="00560136" w:rsidRPr="00773816">
        <w:rPr>
          <w:bCs/>
        </w:rPr>
        <w:t>ń</w:t>
      </w:r>
      <w:r w:rsidRPr="00773816">
        <w:rPr>
          <w:bCs/>
        </w:rPr>
        <w:t xml:space="preserve"> pozwalającym na zabezpieczenie przed przyszłymi nieprzewidzianymi okolicznościami</w:t>
      </w:r>
      <w:r w:rsidR="00A23395">
        <w:rPr>
          <w:bCs/>
        </w:rPr>
        <w:t xml:space="preserve">. </w:t>
      </w:r>
      <w:r w:rsidRPr="00773816">
        <w:rPr>
          <w:bCs/>
        </w:rPr>
        <w:t>Z</w:t>
      </w:r>
      <w:r w:rsidR="00A23395">
        <w:rPr>
          <w:bCs/>
        </w:rPr>
        <w:t> </w:t>
      </w:r>
      <w:r w:rsidR="00EB1A2A" w:rsidRPr="00773816">
        <w:rPr>
          <w:bCs/>
        </w:rPr>
        <w:t>projektu</w:t>
      </w:r>
      <w:r w:rsidRPr="00773816">
        <w:rPr>
          <w:bCs/>
        </w:rPr>
        <w:t xml:space="preserve"> KPO nie wynika</w:t>
      </w:r>
      <w:r w:rsidR="00423BDD" w:rsidRPr="00773816">
        <w:rPr>
          <w:bCs/>
        </w:rPr>
        <w:t xml:space="preserve"> </w:t>
      </w:r>
      <w:r w:rsidRPr="00773816">
        <w:rPr>
          <w:bCs/>
        </w:rPr>
        <w:t>w jaki sposób zaplanowane działania wpłyną na wzmocnienie</w:t>
      </w:r>
      <w:r w:rsidR="00757BED" w:rsidRPr="00773816">
        <w:rPr>
          <w:bCs/>
        </w:rPr>
        <w:t xml:space="preserve"> odporności przed kolejnymi kryzysami. B</w:t>
      </w:r>
      <w:r w:rsidRPr="00773816">
        <w:rPr>
          <w:bCs/>
        </w:rPr>
        <w:t>rakuje analizy wpływu planowanych działań</w:t>
      </w:r>
      <w:r w:rsidR="00EB1A2A" w:rsidRPr="00773816">
        <w:rPr>
          <w:bCs/>
        </w:rPr>
        <w:t xml:space="preserve">, </w:t>
      </w:r>
      <w:r w:rsidR="00757BED" w:rsidRPr="00773816">
        <w:rPr>
          <w:bCs/>
        </w:rPr>
        <w:t>co jest obowiązkowym elementem KPO. Z uwagi na brak</w:t>
      </w:r>
      <w:r w:rsidR="00EB1A2A" w:rsidRPr="00773816">
        <w:rPr>
          <w:bCs/>
        </w:rPr>
        <w:t xml:space="preserve"> bardzo istotnej</w:t>
      </w:r>
      <w:r w:rsidR="00757BED" w:rsidRPr="00773816">
        <w:rPr>
          <w:bCs/>
        </w:rPr>
        <w:t xml:space="preserve"> części opracowania</w:t>
      </w:r>
      <w:r w:rsidR="00916DED">
        <w:rPr>
          <w:bCs/>
        </w:rPr>
        <w:t>,</w:t>
      </w:r>
      <w:r w:rsidR="00757BED" w:rsidRPr="00773816">
        <w:rPr>
          <w:bCs/>
        </w:rPr>
        <w:t xml:space="preserve"> tj. „oceny wpływu interwencji planu”</w:t>
      </w:r>
      <w:r w:rsidR="00560136" w:rsidRPr="00773816">
        <w:rPr>
          <w:bCs/>
        </w:rPr>
        <w:t xml:space="preserve"> nie jest</w:t>
      </w:r>
      <w:r w:rsidR="00757BED" w:rsidRPr="00773816">
        <w:rPr>
          <w:bCs/>
        </w:rPr>
        <w:t xml:space="preserve"> możli</w:t>
      </w:r>
      <w:r w:rsidR="00560136" w:rsidRPr="00773816">
        <w:rPr>
          <w:bCs/>
        </w:rPr>
        <w:t>wa</w:t>
      </w:r>
      <w:r w:rsidR="00757BED" w:rsidRPr="00773816">
        <w:rPr>
          <w:bCs/>
        </w:rPr>
        <w:t xml:space="preserve"> weryfikacj</w:t>
      </w:r>
      <w:r w:rsidR="00560136" w:rsidRPr="00773816">
        <w:rPr>
          <w:bCs/>
        </w:rPr>
        <w:t>a</w:t>
      </w:r>
      <w:r w:rsidR="00757BED" w:rsidRPr="00773816">
        <w:rPr>
          <w:bCs/>
        </w:rPr>
        <w:t xml:space="preserve"> zasadnoś</w:t>
      </w:r>
      <w:r w:rsidR="00560136" w:rsidRPr="00773816">
        <w:rPr>
          <w:bCs/>
        </w:rPr>
        <w:t xml:space="preserve">ci </w:t>
      </w:r>
      <w:r w:rsidR="00757BED" w:rsidRPr="00773816">
        <w:rPr>
          <w:bCs/>
        </w:rPr>
        <w:t>podejmowanych interwencji.</w:t>
      </w:r>
    </w:p>
    <w:p w14:paraId="19707E04" w14:textId="77777777" w:rsidR="00033F9B" w:rsidRDefault="00033F9B" w:rsidP="00757BED">
      <w:pPr>
        <w:pStyle w:val="NormalnyWeb"/>
        <w:ind w:firstLine="708"/>
        <w:jc w:val="both"/>
        <w:rPr>
          <w:bCs/>
        </w:rPr>
      </w:pPr>
    </w:p>
    <w:p w14:paraId="32069076" w14:textId="57B87F65" w:rsidR="00773816" w:rsidRPr="00EB1A2A" w:rsidRDefault="00773816" w:rsidP="00773816">
      <w:pPr>
        <w:ind w:firstLine="708"/>
        <w:jc w:val="both"/>
        <w:rPr>
          <w:rFonts w:ascii="Times New Roman" w:hAnsi="Times New Roman" w:cs="Times New Roman"/>
          <w:bCs/>
          <w:sz w:val="24"/>
          <w:szCs w:val="24"/>
        </w:rPr>
      </w:pPr>
      <w:r w:rsidRPr="00EB1A2A">
        <w:rPr>
          <w:rFonts w:ascii="Times New Roman" w:hAnsi="Times New Roman" w:cs="Times New Roman"/>
          <w:bCs/>
          <w:sz w:val="24"/>
          <w:szCs w:val="24"/>
        </w:rPr>
        <w:t>Naszym zdaniem Krajowy Plan Odbudowy powinien być wdrażany we wszystkich 255 miastach średnich (bez preferencji dla miast tracących funkcje społeczno-gospodarcze), ponieważ skutki pandemii odczuwają wszystkie ośrodki miejskie w kraju, a miasta tracące funkcje społeczne gospodarcze uzyskują już preferencję w ramach inny programów pomocowych krajowych jak i wspólnotowych (np. Polityki Spójności gdzie preferowane są OSI wojewódzkie,</w:t>
      </w:r>
      <w:r w:rsidR="002A09D6">
        <w:rPr>
          <w:rFonts w:ascii="Times New Roman" w:hAnsi="Times New Roman" w:cs="Times New Roman"/>
          <w:bCs/>
          <w:sz w:val="24"/>
          <w:szCs w:val="24"/>
        </w:rPr>
        <w:t xml:space="preserve"> obszary</w:t>
      </w:r>
      <w:r w:rsidRPr="00EB1A2A">
        <w:rPr>
          <w:rFonts w:ascii="Times New Roman" w:hAnsi="Times New Roman" w:cs="Times New Roman"/>
          <w:bCs/>
          <w:sz w:val="24"/>
          <w:szCs w:val="24"/>
        </w:rPr>
        <w:t xml:space="preserve"> zmarginalizowane czy właśnie miasta tracące funkcje społeczno-gospodarcze).</w:t>
      </w:r>
    </w:p>
    <w:p w14:paraId="63FF5EF7" w14:textId="25F8081C" w:rsidR="00EC3059" w:rsidRPr="00EB1A2A" w:rsidRDefault="00560136" w:rsidP="00FD1E81">
      <w:pPr>
        <w:pStyle w:val="NormalnyWeb"/>
        <w:ind w:firstLine="708"/>
        <w:jc w:val="both"/>
        <w:rPr>
          <w:bCs/>
        </w:rPr>
      </w:pPr>
      <w:r w:rsidRPr="00773816">
        <w:rPr>
          <w:bCs/>
        </w:rPr>
        <w:t>Zaplanowana d</w:t>
      </w:r>
      <w:r w:rsidR="00491B52" w:rsidRPr="00773816">
        <w:rPr>
          <w:bCs/>
        </w:rPr>
        <w:t>emarkacja między KPO a środkami Polityki Spójności</w:t>
      </w:r>
      <w:r w:rsidRPr="00773816">
        <w:rPr>
          <w:bCs/>
        </w:rPr>
        <w:t xml:space="preserve"> </w:t>
      </w:r>
      <w:r w:rsidR="00491B52" w:rsidRPr="00773816">
        <w:rPr>
          <w:bCs/>
        </w:rPr>
        <w:t>jest</w:t>
      </w:r>
      <w:r w:rsidRPr="00773816">
        <w:rPr>
          <w:bCs/>
        </w:rPr>
        <w:t xml:space="preserve"> naszym zdaniem</w:t>
      </w:r>
      <w:r w:rsidR="00EB1A2A" w:rsidRPr="00773816">
        <w:rPr>
          <w:bCs/>
        </w:rPr>
        <w:t xml:space="preserve"> </w:t>
      </w:r>
      <w:r w:rsidR="00491B52" w:rsidRPr="00773816">
        <w:rPr>
          <w:bCs/>
        </w:rPr>
        <w:t>w wielu obs</w:t>
      </w:r>
      <w:r w:rsidR="000C2EA3" w:rsidRPr="00773816">
        <w:rPr>
          <w:bCs/>
        </w:rPr>
        <w:t>zarach niejasna</w:t>
      </w:r>
      <w:r w:rsidR="00423BDD" w:rsidRPr="00773816">
        <w:rPr>
          <w:bCs/>
        </w:rPr>
        <w:t>, i może</w:t>
      </w:r>
      <w:r w:rsidR="00491B52" w:rsidRPr="00773816">
        <w:rPr>
          <w:bCs/>
        </w:rPr>
        <w:t xml:space="preserve"> uniemożliwia</w:t>
      </w:r>
      <w:r w:rsidR="00423BDD" w:rsidRPr="00773816">
        <w:rPr>
          <w:bCs/>
        </w:rPr>
        <w:t>ć</w:t>
      </w:r>
      <w:r w:rsidR="00491B52" w:rsidRPr="00773816">
        <w:rPr>
          <w:bCs/>
        </w:rPr>
        <w:t xml:space="preserve"> jednoznaczną identyfikację </w:t>
      </w:r>
      <w:r w:rsidR="000C2EA3" w:rsidRPr="00773816">
        <w:rPr>
          <w:bCs/>
        </w:rPr>
        <w:t>kwalifikowalności konkretnych</w:t>
      </w:r>
      <w:r w:rsidR="00491B52" w:rsidRPr="00773816">
        <w:rPr>
          <w:bCs/>
        </w:rPr>
        <w:t xml:space="preserve"> inwestycji w danym instrumencie finansowym.</w:t>
      </w:r>
      <w:r w:rsidR="00A23395">
        <w:rPr>
          <w:bCs/>
        </w:rPr>
        <w:t xml:space="preserve"> Ponadto w </w:t>
      </w:r>
      <w:r w:rsidR="00491B52" w:rsidRPr="00EB1A2A">
        <w:rPr>
          <w:bCs/>
        </w:rPr>
        <w:t>zakresie bardzo kapitałochłonnych inwestycji (np. mob</w:t>
      </w:r>
      <w:r w:rsidR="00A23395">
        <w:rPr>
          <w:bCs/>
        </w:rPr>
        <w:t>ilność miejska, ciepłownictwo i </w:t>
      </w:r>
      <w:r w:rsidR="00491B52" w:rsidRPr="00EB1A2A">
        <w:rPr>
          <w:bCs/>
        </w:rPr>
        <w:t>produkcja energii itd.) postuluje</w:t>
      </w:r>
      <w:r w:rsidRPr="00EB1A2A">
        <w:rPr>
          <w:bCs/>
        </w:rPr>
        <w:t>my</w:t>
      </w:r>
      <w:r w:rsidR="00773816">
        <w:rPr>
          <w:bCs/>
        </w:rPr>
        <w:t>,</w:t>
      </w:r>
      <w:r w:rsidR="00491B52" w:rsidRPr="00EB1A2A">
        <w:rPr>
          <w:bCs/>
        </w:rPr>
        <w:t xml:space="preserve"> aby wsparcie było możliwe równolegle, zarówno ze środków Funduszu Odbudowy</w:t>
      </w:r>
      <w:r w:rsidR="00381CD0">
        <w:rPr>
          <w:bCs/>
        </w:rPr>
        <w:t>,</w:t>
      </w:r>
      <w:r w:rsidR="00491B52" w:rsidRPr="00EB1A2A">
        <w:rPr>
          <w:bCs/>
        </w:rPr>
        <w:t xml:space="preserve"> jak i Polityki Spójności</w:t>
      </w:r>
      <w:r w:rsidR="00381CD0">
        <w:rPr>
          <w:bCs/>
        </w:rPr>
        <w:t>,</w:t>
      </w:r>
      <w:r w:rsidR="00491B52" w:rsidRPr="00EB1A2A">
        <w:rPr>
          <w:bCs/>
        </w:rPr>
        <w:t xml:space="preserve"> czy też Funduszu Sprawiedliwej Transformacji.</w:t>
      </w:r>
      <w:r w:rsidR="00200690" w:rsidRPr="00EB1A2A">
        <w:rPr>
          <w:bCs/>
        </w:rPr>
        <w:t xml:space="preserve"> Środki finansowe alokowane na poszczególne obszary powinny zostać ponownie zweryfikowane –</w:t>
      </w:r>
      <w:r w:rsidR="00A640ED" w:rsidRPr="00EB1A2A">
        <w:rPr>
          <w:bCs/>
        </w:rPr>
        <w:t xml:space="preserve"> gdyż</w:t>
      </w:r>
      <w:r w:rsidR="00200690" w:rsidRPr="00EB1A2A">
        <w:rPr>
          <w:bCs/>
        </w:rPr>
        <w:t xml:space="preserve"> niektóre obszary wydają się niedoszacowane</w:t>
      </w:r>
      <w:r w:rsidR="00381CD0">
        <w:rPr>
          <w:bCs/>
        </w:rPr>
        <w:t>,</w:t>
      </w:r>
      <w:r w:rsidR="00200690" w:rsidRPr="00EB1A2A">
        <w:rPr>
          <w:bCs/>
        </w:rPr>
        <w:t xml:space="preserve"> np. inwestycje w źródła cie</w:t>
      </w:r>
      <w:r w:rsidR="00A23395">
        <w:rPr>
          <w:bCs/>
        </w:rPr>
        <w:t>pła w systemach ciepłowniczych,</w:t>
      </w:r>
      <w:r w:rsidR="00200690" w:rsidRPr="00EB1A2A">
        <w:rPr>
          <w:bCs/>
        </w:rPr>
        <w:t xml:space="preserve"> inwestycje w „zazielenianie miast”</w:t>
      </w:r>
      <w:r w:rsidR="00EB1A2A">
        <w:rPr>
          <w:bCs/>
        </w:rPr>
        <w:t xml:space="preserve"> </w:t>
      </w:r>
      <w:r w:rsidR="00A23395">
        <w:rPr>
          <w:bCs/>
        </w:rPr>
        <w:t>w </w:t>
      </w:r>
      <w:r w:rsidR="00200690" w:rsidRPr="00EB1A2A">
        <w:rPr>
          <w:bCs/>
        </w:rPr>
        <w:t>porównaniu do innych obszarów np. cyfrowa infrastruktura szkół</w:t>
      </w:r>
      <w:r w:rsidR="00381CD0">
        <w:rPr>
          <w:bCs/>
        </w:rPr>
        <w:t xml:space="preserve"> </w:t>
      </w:r>
      <w:r w:rsidRPr="00EB1A2A">
        <w:rPr>
          <w:bCs/>
        </w:rPr>
        <w:t>i</w:t>
      </w:r>
      <w:r w:rsidR="00EB1A2A">
        <w:rPr>
          <w:bCs/>
        </w:rPr>
        <w:t xml:space="preserve"> </w:t>
      </w:r>
      <w:r w:rsidR="00200690" w:rsidRPr="00EB1A2A">
        <w:rPr>
          <w:bCs/>
        </w:rPr>
        <w:t>e-usługi publiczne</w:t>
      </w:r>
      <w:r w:rsidRPr="00EB1A2A">
        <w:rPr>
          <w:bCs/>
        </w:rPr>
        <w:t>.</w:t>
      </w:r>
    </w:p>
    <w:p w14:paraId="713634A5" w14:textId="674290B8" w:rsidR="00773816" w:rsidRPr="00033F9B" w:rsidRDefault="001061FE" w:rsidP="00033F9B">
      <w:pPr>
        <w:pStyle w:val="NormalnyWeb"/>
        <w:ind w:firstLine="708"/>
        <w:jc w:val="both"/>
        <w:rPr>
          <w:bCs/>
        </w:rPr>
      </w:pPr>
      <w:r w:rsidRPr="00EB1A2A">
        <w:rPr>
          <w:bCs/>
        </w:rPr>
        <w:t>Wskazane</w:t>
      </w:r>
      <w:r w:rsidR="00730D1E" w:rsidRPr="00EB1A2A">
        <w:rPr>
          <w:bCs/>
        </w:rPr>
        <w:t xml:space="preserve"> naszym zdaniem</w:t>
      </w:r>
      <w:r w:rsidRPr="00EB1A2A">
        <w:rPr>
          <w:bCs/>
        </w:rPr>
        <w:t xml:space="preserve"> byłoby uzupełnienie dokumentu</w:t>
      </w:r>
      <w:r w:rsidR="00730D1E" w:rsidRPr="00EB1A2A">
        <w:rPr>
          <w:bCs/>
        </w:rPr>
        <w:t xml:space="preserve"> KPO</w:t>
      </w:r>
      <w:r w:rsidRPr="00EB1A2A">
        <w:rPr>
          <w:bCs/>
        </w:rPr>
        <w:t xml:space="preserve"> o tabele finansowe, zawierające podział kwot pomiędzy poszczególne </w:t>
      </w:r>
      <w:r w:rsidR="00730D1E" w:rsidRPr="00EB1A2A">
        <w:rPr>
          <w:bCs/>
        </w:rPr>
        <w:t>k</w:t>
      </w:r>
      <w:r w:rsidRPr="00EB1A2A">
        <w:rPr>
          <w:bCs/>
        </w:rPr>
        <w:t xml:space="preserve">omponenty, </w:t>
      </w:r>
      <w:r w:rsidR="00730D1E" w:rsidRPr="00EB1A2A">
        <w:rPr>
          <w:bCs/>
        </w:rPr>
        <w:t>r</w:t>
      </w:r>
      <w:r w:rsidRPr="00EB1A2A">
        <w:rPr>
          <w:bCs/>
        </w:rPr>
        <w:t xml:space="preserve">eformy i </w:t>
      </w:r>
      <w:r w:rsidR="00730D1E" w:rsidRPr="00EB1A2A">
        <w:rPr>
          <w:bCs/>
        </w:rPr>
        <w:t>i</w:t>
      </w:r>
      <w:r w:rsidRPr="00EB1A2A">
        <w:rPr>
          <w:bCs/>
        </w:rPr>
        <w:t>nwestycje, a także o plan finansowy,</w:t>
      </w:r>
      <w:r w:rsidR="00730D1E" w:rsidRPr="00EB1A2A">
        <w:rPr>
          <w:bCs/>
        </w:rPr>
        <w:t xml:space="preserve"> prognozujący</w:t>
      </w:r>
      <w:r w:rsidRPr="00EB1A2A">
        <w:rPr>
          <w:bCs/>
        </w:rPr>
        <w:t xml:space="preserve"> przewidywane wydatkowanie w</w:t>
      </w:r>
      <w:r w:rsidR="00730D1E" w:rsidRPr="00EB1A2A">
        <w:rPr>
          <w:bCs/>
        </w:rPr>
        <w:t xml:space="preserve"> nadchodzących</w:t>
      </w:r>
      <w:r w:rsidRPr="00EB1A2A">
        <w:rPr>
          <w:bCs/>
        </w:rPr>
        <w:t xml:space="preserve"> latach.</w:t>
      </w:r>
      <w:r w:rsidR="00381CD0">
        <w:rPr>
          <w:bCs/>
        </w:rPr>
        <w:t xml:space="preserve"> Istotną informacją</w:t>
      </w:r>
      <w:r w:rsidR="00730D1E" w:rsidRPr="00EB1A2A">
        <w:rPr>
          <w:bCs/>
        </w:rPr>
        <w:t xml:space="preserve"> byłoby</w:t>
      </w:r>
      <w:r w:rsidR="00A640ED" w:rsidRPr="00EB1A2A">
        <w:rPr>
          <w:bCs/>
        </w:rPr>
        <w:t xml:space="preserve"> ponadto</w:t>
      </w:r>
      <w:r w:rsidRPr="00EB1A2A">
        <w:rPr>
          <w:bCs/>
        </w:rPr>
        <w:t xml:space="preserve"> zestawieni</w:t>
      </w:r>
      <w:r w:rsidR="00730D1E" w:rsidRPr="00EB1A2A">
        <w:rPr>
          <w:bCs/>
        </w:rPr>
        <w:t>e</w:t>
      </w:r>
      <w:r w:rsidRPr="00EB1A2A">
        <w:rPr>
          <w:bCs/>
        </w:rPr>
        <w:t xml:space="preserve"> kwot w odniesieniu</w:t>
      </w:r>
      <w:r w:rsidR="00730D1E" w:rsidRPr="00EB1A2A">
        <w:rPr>
          <w:bCs/>
        </w:rPr>
        <w:t xml:space="preserve"> do</w:t>
      </w:r>
      <w:r w:rsidR="00A23395">
        <w:rPr>
          <w:bCs/>
        </w:rPr>
        <w:t xml:space="preserve"> trybu naboru, tj. jaki procent</w:t>
      </w:r>
      <w:r w:rsidRPr="00EB1A2A">
        <w:rPr>
          <w:bCs/>
        </w:rPr>
        <w:t xml:space="preserve"> planowanych środków jest przewidziane do rozdystrybuowania w trybie konkursowym, a jaki w pozakonkursowym.</w:t>
      </w:r>
      <w:r w:rsidR="00FD1E81" w:rsidRPr="00EB1A2A">
        <w:rPr>
          <w:bCs/>
        </w:rPr>
        <w:t xml:space="preserve"> </w:t>
      </w:r>
      <w:r w:rsidR="00FD1E81" w:rsidRPr="00EB1A2A">
        <w:t xml:space="preserve">Pewnym problemem w przyszłości może okazać się aktualny brak </w:t>
      </w:r>
      <w:r w:rsidR="00FD1E81" w:rsidRPr="00EB1A2A">
        <w:rPr>
          <w:bCs/>
        </w:rPr>
        <w:t xml:space="preserve">informacji o części pożyczkowej Funduszu Odbudowy, co utrudnia rzetelne odniesienie się do kwestii ewentualnej demarkacji i zasadności ekonomicznej realizacji danego rodzaju </w:t>
      </w:r>
      <w:r w:rsidR="00FD1E81" w:rsidRPr="00773816">
        <w:rPr>
          <w:bCs/>
        </w:rPr>
        <w:t>inwestycji</w:t>
      </w:r>
      <w:r w:rsidR="00381CD0">
        <w:rPr>
          <w:bCs/>
        </w:rPr>
        <w:t>,</w:t>
      </w:r>
      <w:r w:rsidR="00FD1E81" w:rsidRPr="00773816">
        <w:rPr>
          <w:bCs/>
        </w:rPr>
        <w:t xml:space="preserve"> tj. z części dotacyjnej bądź części pożyczkowej.</w:t>
      </w:r>
    </w:p>
    <w:sectPr w:rsidR="00773816" w:rsidRPr="00033F9B" w:rsidSect="00033F9B">
      <w:footerReference w:type="default" r:id="rId9"/>
      <w:pgSz w:w="11906" w:h="16838"/>
      <w:pgMar w:top="1134" w:right="1418" w:bottom="1276" w:left="1418" w:header="709" w:footer="5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CE9A7" w14:textId="77777777" w:rsidR="00021C0B" w:rsidRDefault="00021C0B" w:rsidP="00403EF8">
      <w:r>
        <w:separator/>
      </w:r>
    </w:p>
  </w:endnote>
  <w:endnote w:type="continuationSeparator" w:id="0">
    <w:p w14:paraId="1CCC48F3" w14:textId="77777777" w:rsidR="00021C0B" w:rsidRDefault="00021C0B" w:rsidP="0040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351013"/>
      <w:docPartObj>
        <w:docPartGallery w:val="Page Numbers (Bottom of Page)"/>
        <w:docPartUnique/>
      </w:docPartObj>
    </w:sdtPr>
    <w:sdtEndPr/>
    <w:sdtContent>
      <w:p w14:paraId="1EB3AB2C" w14:textId="672971C5" w:rsidR="00403EF8" w:rsidRDefault="00403EF8">
        <w:pPr>
          <w:pStyle w:val="Stopka"/>
          <w:jc w:val="right"/>
        </w:pPr>
        <w:r>
          <w:fldChar w:fldCharType="begin"/>
        </w:r>
        <w:r>
          <w:instrText>PAGE   \* MERGEFORMAT</w:instrText>
        </w:r>
        <w:r>
          <w:fldChar w:fldCharType="separate"/>
        </w:r>
        <w:r w:rsidR="00001D5F">
          <w:rPr>
            <w:noProof/>
          </w:rPr>
          <w:t>1</w:t>
        </w:r>
        <w:r>
          <w:fldChar w:fldCharType="end"/>
        </w:r>
      </w:p>
    </w:sdtContent>
  </w:sdt>
  <w:p w14:paraId="6DBA73F9" w14:textId="77777777" w:rsidR="00403EF8" w:rsidRDefault="00403E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89C3B" w14:textId="77777777" w:rsidR="00021C0B" w:rsidRDefault="00021C0B" w:rsidP="00403EF8">
      <w:r>
        <w:separator/>
      </w:r>
    </w:p>
  </w:footnote>
  <w:footnote w:type="continuationSeparator" w:id="0">
    <w:p w14:paraId="06577979" w14:textId="77777777" w:rsidR="00021C0B" w:rsidRDefault="00021C0B" w:rsidP="00403EF8">
      <w:r>
        <w:continuationSeparator/>
      </w:r>
    </w:p>
  </w:footnote>
  <w:footnote w:id="1">
    <w:p w14:paraId="0CAEA084" w14:textId="77777777" w:rsidR="00FD1E81" w:rsidRPr="00364D92" w:rsidRDefault="00FD1E81" w:rsidP="00FD1E81">
      <w:pPr>
        <w:pStyle w:val="Tekstprzypisudolnego"/>
        <w:rPr>
          <w:sz w:val="18"/>
          <w:szCs w:val="18"/>
        </w:rPr>
      </w:pPr>
      <w:r>
        <w:rPr>
          <w:rStyle w:val="Odwoanieprzypisudolnego"/>
        </w:rPr>
        <w:footnoteRef/>
      </w:r>
      <w:r>
        <w:t xml:space="preserve"> </w:t>
      </w:r>
      <w:r w:rsidRPr="00364D92">
        <w:rPr>
          <w:sz w:val="18"/>
          <w:szCs w:val="18"/>
        </w:rPr>
        <w:t>„Raport – inwestycje w Polsce okres: I kw. 2018 r. – IV kw. 2019 r.”, Wydział Analiz (KOT) DSR, Warszawa, 3 sierpnia 2020 r., str. 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73"/>
    <w:rsid w:val="00001D5F"/>
    <w:rsid w:val="00021C0B"/>
    <w:rsid w:val="00033F9B"/>
    <w:rsid w:val="00045FAA"/>
    <w:rsid w:val="00072CFA"/>
    <w:rsid w:val="000938E8"/>
    <w:rsid w:val="000B2F31"/>
    <w:rsid w:val="000C2EA3"/>
    <w:rsid w:val="000C3E25"/>
    <w:rsid w:val="000D31E9"/>
    <w:rsid w:val="000E7239"/>
    <w:rsid w:val="000F24FF"/>
    <w:rsid w:val="001061FE"/>
    <w:rsid w:val="001525B2"/>
    <w:rsid w:val="00173AD3"/>
    <w:rsid w:val="00185201"/>
    <w:rsid w:val="001C2ED7"/>
    <w:rsid w:val="001C3E06"/>
    <w:rsid w:val="00200690"/>
    <w:rsid w:val="00202E7A"/>
    <w:rsid w:val="002A09D6"/>
    <w:rsid w:val="002F5E73"/>
    <w:rsid w:val="00315E9D"/>
    <w:rsid w:val="00331EB4"/>
    <w:rsid w:val="0034207B"/>
    <w:rsid w:val="003524BB"/>
    <w:rsid w:val="00364D92"/>
    <w:rsid w:val="00381CD0"/>
    <w:rsid w:val="00403EF8"/>
    <w:rsid w:val="00423BDD"/>
    <w:rsid w:val="00435B26"/>
    <w:rsid w:val="004523C9"/>
    <w:rsid w:val="00491B52"/>
    <w:rsid w:val="004E096F"/>
    <w:rsid w:val="005222B5"/>
    <w:rsid w:val="0053236B"/>
    <w:rsid w:val="0054458D"/>
    <w:rsid w:val="00560136"/>
    <w:rsid w:val="005D4B99"/>
    <w:rsid w:val="005E54BD"/>
    <w:rsid w:val="00613A36"/>
    <w:rsid w:val="006320A4"/>
    <w:rsid w:val="00633C39"/>
    <w:rsid w:val="00642CE3"/>
    <w:rsid w:val="006B01E8"/>
    <w:rsid w:val="006B3DB5"/>
    <w:rsid w:val="006B6E00"/>
    <w:rsid w:val="00730D1E"/>
    <w:rsid w:val="007345F2"/>
    <w:rsid w:val="0073656A"/>
    <w:rsid w:val="00745475"/>
    <w:rsid w:val="00757BED"/>
    <w:rsid w:val="007667CD"/>
    <w:rsid w:val="00773816"/>
    <w:rsid w:val="007821E1"/>
    <w:rsid w:val="00782E28"/>
    <w:rsid w:val="00856C03"/>
    <w:rsid w:val="008778FE"/>
    <w:rsid w:val="00880609"/>
    <w:rsid w:val="00916DED"/>
    <w:rsid w:val="00963D8C"/>
    <w:rsid w:val="009830F4"/>
    <w:rsid w:val="009B4428"/>
    <w:rsid w:val="009F3FA8"/>
    <w:rsid w:val="00A17554"/>
    <w:rsid w:val="00A23395"/>
    <w:rsid w:val="00A3147B"/>
    <w:rsid w:val="00A54BE1"/>
    <w:rsid w:val="00A640ED"/>
    <w:rsid w:val="00A729C2"/>
    <w:rsid w:val="00A83BC8"/>
    <w:rsid w:val="00AA4830"/>
    <w:rsid w:val="00AD60B9"/>
    <w:rsid w:val="00B73423"/>
    <w:rsid w:val="00B85044"/>
    <w:rsid w:val="00BA553D"/>
    <w:rsid w:val="00BB1985"/>
    <w:rsid w:val="00BE2441"/>
    <w:rsid w:val="00C036C6"/>
    <w:rsid w:val="00C21812"/>
    <w:rsid w:val="00C23B56"/>
    <w:rsid w:val="00C33234"/>
    <w:rsid w:val="00C7162A"/>
    <w:rsid w:val="00CA6FEB"/>
    <w:rsid w:val="00CA7F1A"/>
    <w:rsid w:val="00CF0158"/>
    <w:rsid w:val="00D6351B"/>
    <w:rsid w:val="00DF16CE"/>
    <w:rsid w:val="00E43A74"/>
    <w:rsid w:val="00E72383"/>
    <w:rsid w:val="00E85D31"/>
    <w:rsid w:val="00EB1A2A"/>
    <w:rsid w:val="00EC3059"/>
    <w:rsid w:val="00F179D9"/>
    <w:rsid w:val="00F511C4"/>
    <w:rsid w:val="00F92129"/>
    <w:rsid w:val="00FB217E"/>
    <w:rsid w:val="00FD1E81"/>
    <w:rsid w:val="00FD25B8"/>
    <w:rsid w:val="00FD3C08"/>
    <w:rsid w:val="00FF4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2CFA"/>
    <w:pPr>
      <w:spacing w:after="0" w:line="240" w:lineRule="auto"/>
    </w:pPr>
    <w:rPr>
      <w:rFonts w:ascii="Calibri" w:hAnsi="Calibri" w:cs="Calibri"/>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72CFA"/>
    <w:pPr>
      <w:spacing w:before="100" w:beforeAutospacing="1" w:after="100" w:afterAutospacing="1"/>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524BB"/>
    <w:rPr>
      <w:rFonts w:ascii="Tahoma" w:hAnsi="Tahoma" w:cs="Tahoma"/>
      <w:sz w:val="16"/>
      <w:szCs w:val="16"/>
    </w:rPr>
  </w:style>
  <w:style w:type="character" w:customStyle="1" w:styleId="TekstdymkaZnak">
    <w:name w:val="Tekst dymka Znak"/>
    <w:basedOn w:val="Domylnaczcionkaakapitu"/>
    <w:link w:val="Tekstdymka"/>
    <w:uiPriority w:val="99"/>
    <w:semiHidden/>
    <w:rsid w:val="003524BB"/>
    <w:rPr>
      <w:rFonts w:ascii="Tahoma" w:hAnsi="Tahoma" w:cs="Tahoma"/>
      <w:sz w:val="16"/>
      <w:szCs w:val="16"/>
    </w:rPr>
  </w:style>
  <w:style w:type="paragraph" w:styleId="Nagwek">
    <w:name w:val="header"/>
    <w:basedOn w:val="Normalny"/>
    <w:link w:val="NagwekZnak"/>
    <w:uiPriority w:val="99"/>
    <w:unhideWhenUsed/>
    <w:rsid w:val="00403EF8"/>
    <w:pPr>
      <w:tabs>
        <w:tab w:val="center" w:pos="4536"/>
        <w:tab w:val="right" w:pos="9072"/>
      </w:tabs>
    </w:pPr>
  </w:style>
  <w:style w:type="character" w:customStyle="1" w:styleId="NagwekZnak">
    <w:name w:val="Nagłówek Znak"/>
    <w:basedOn w:val="Domylnaczcionkaakapitu"/>
    <w:link w:val="Nagwek"/>
    <w:uiPriority w:val="99"/>
    <w:rsid w:val="00403EF8"/>
    <w:rPr>
      <w:rFonts w:ascii="Calibri" w:hAnsi="Calibri" w:cs="Calibri"/>
    </w:rPr>
  </w:style>
  <w:style w:type="paragraph" w:styleId="Stopka">
    <w:name w:val="footer"/>
    <w:basedOn w:val="Normalny"/>
    <w:link w:val="StopkaZnak"/>
    <w:uiPriority w:val="99"/>
    <w:unhideWhenUsed/>
    <w:rsid w:val="00403EF8"/>
    <w:pPr>
      <w:tabs>
        <w:tab w:val="center" w:pos="4536"/>
        <w:tab w:val="right" w:pos="9072"/>
      </w:tabs>
    </w:pPr>
  </w:style>
  <w:style w:type="character" w:customStyle="1" w:styleId="StopkaZnak">
    <w:name w:val="Stopka Znak"/>
    <w:basedOn w:val="Domylnaczcionkaakapitu"/>
    <w:link w:val="Stopka"/>
    <w:uiPriority w:val="99"/>
    <w:rsid w:val="00403EF8"/>
    <w:rPr>
      <w:rFonts w:ascii="Calibri" w:hAnsi="Calibri" w:cs="Calibri"/>
    </w:rPr>
  </w:style>
  <w:style w:type="character" w:styleId="Odwoaniedokomentarza">
    <w:name w:val="annotation reference"/>
    <w:basedOn w:val="Domylnaczcionkaakapitu"/>
    <w:uiPriority w:val="99"/>
    <w:semiHidden/>
    <w:unhideWhenUsed/>
    <w:rsid w:val="00DF16CE"/>
    <w:rPr>
      <w:sz w:val="16"/>
      <w:szCs w:val="16"/>
    </w:rPr>
  </w:style>
  <w:style w:type="paragraph" w:styleId="Tekstkomentarza">
    <w:name w:val="annotation text"/>
    <w:basedOn w:val="Normalny"/>
    <w:link w:val="TekstkomentarzaZnak"/>
    <w:uiPriority w:val="99"/>
    <w:semiHidden/>
    <w:unhideWhenUsed/>
    <w:rsid w:val="00DF16CE"/>
    <w:rPr>
      <w:sz w:val="20"/>
      <w:szCs w:val="20"/>
    </w:rPr>
  </w:style>
  <w:style w:type="character" w:customStyle="1" w:styleId="TekstkomentarzaZnak">
    <w:name w:val="Tekst komentarza Znak"/>
    <w:basedOn w:val="Domylnaczcionkaakapitu"/>
    <w:link w:val="Tekstkomentarza"/>
    <w:uiPriority w:val="99"/>
    <w:semiHidden/>
    <w:rsid w:val="00DF16CE"/>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DF16CE"/>
    <w:rPr>
      <w:b/>
      <w:bCs/>
    </w:rPr>
  </w:style>
  <w:style w:type="character" w:customStyle="1" w:styleId="TematkomentarzaZnak">
    <w:name w:val="Temat komentarza Znak"/>
    <w:basedOn w:val="TekstkomentarzaZnak"/>
    <w:link w:val="Tematkomentarza"/>
    <w:uiPriority w:val="99"/>
    <w:semiHidden/>
    <w:rsid w:val="00DF16CE"/>
    <w:rPr>
      <w:rFonts w:ascii="Calibri" w:hAnsi="Calibri" w:cs="Calibri"/>
      <w:b/>
      <w:bCs/>
      <w:sz w:val="20"/>
      <w:szCs w:val="20"/>
    </w:rPr>
  </w:style>
  <w:style w:type="paragraph" w:styleId="Tekstprzypisudolnego">
    <w:name w:val="footnote text"/>
    <w:basedOn w:val="Normalny"/>
    <w:link w:val="TekstprzypisudolnegoZnak"/>
    <w:semiHidden/>
    <w:unhideWhenUsed/>
    <w:rsid w:val="00491B52"/>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91B52"/>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491B52"/>
    <w:rPr>
      <w:vertAlign w:val="superscript"/>
    </w:rPr>
  </w:style>
  <w:style w:type="paragraph" w:styleId="Tekstprzypisukocowego">
    <w:name w:val="endnote text"/>
    <w:basedOn w:val="Normalny"/>
    <w:link w:val="TekstprzypisukocowegoZnak"/>
    <w:uiPriority w:val="99"/>
    <w:semiHidden/>
    <w:unhideWhenUsed/>
    <w:rsid w:val="00364D92"/>
    <w:rPr>
      <w:sz w:val="20"/>
      <w:szCs w:val="20"/>
    </w:rPr>
  </w:style>
  <w:style w:type="character" w:customStyle="1" w:styleId="TekstprzypisukocowegoZnak">
    <w:name w:val="Tekst przypisu końcowego Znak"/>
    <w:basedOn w:val="Domylnaczcionkaakapitu"/>
    <w:link w:val="Tekstprzypisukocowego"/>
    <w:uiPriority w:val="99"/>
    <w:semiHidden/>
    <w:rsid w:val="00364D92"/>
    <w:rPr>
      <w:rFonts w:ascii="Calibri" w:hAnsi="Calibri" w:cs="Calibri"/>
      <w:sz w:val="20"/>
      <w:szCs w:val="20"/>
    </w:rPr>
  </w:style>
  <w:style w:type="character" w:styleId="Odwoanieprzypisukocowego">
    <w:name w:val="endnote reference"/>
    <w:basedOn w:val="Domylnaczcionkaakapitu"/>
    <w:uiPriority w:val="99"/>
    <w:semiHidden/>
    <w:unhideWhenUsed/>
    <w:rsid w:val="00364D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2CFA"/>
    <w:pPr>
      <w:spacing w:after="0" w:line="240" w:lineRule="auto"/>
    </w:pPr>
    <w:rPr>
      <w:rFonts w:ascii="Calibri" w:hAnsi="Calibri" w:cs="Calibri"/>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72CFA"/>
    <w:pPr>
      <w:spacing w:before="100" w:beforeAutospacing="1" w:after="100" w:afterAutospacing="1"/>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524BB"/>
    <w:rPr>
      <w:rFonts w:ascii="Tahoma" w:hAnsi="Tahoma" w:cs="Tahoma"/>
      <w:sz w:val="16"/>
      <w:szCs w:val="16"/>
    </w:rPr>
  </w:style>
  <w:style w:type="character" w:customStyle="1" w:styleId="TekstdymkaZnak">
    <w:name w:val="Tekst dymka Znak"/>
    <w:basedOn w:val="Domylnaczcionkaakapitu"/>
    <w:link w:val="Tekstdymka"/>
    <w:uiPriority w:val="99"/>
    <w:semiHidden/>
    <w:rsid w:val="003524BB"/>
    <w:rPr>
      <w:rFonts w:ascii="Tahoma" w:hAnsi="Tahoma" w:cs="Tahoma"/>
      <w:sz w:val="16"/>
      <w:szCs w:val="16"/>
    </w:rPr>
  </w:style>
  <w:style w:type="paragraph" w:styleId="Nagwek">
    <w:name w:val="header"/>
    <w:basedOn w:val="Normalny"/>
    <w:link w:val="NagwekZnak"/>
    <w:uiPriority w:val="99"/>
    <w:unhideWhenUsed/>
    <w:rsid w:val="00403EF8"/>
    <w:pPr>
      <w:tabs>
        <w:tab w:val="center" w:pos="4536"/>
        <w:tab w:val="right" w:pos="9072"/>
      </w:tabs>
    </w:pPr>
  </w:style>
  <w:style w:type="character" w:customStyle="1" w:styleId="NagwekZnak">
    <w:name w:val="Nagłówek Znak"/>
    <w:basedOn w:val="Domylnaczcionkaakapitu"/>
    <w:link w:val="Nagwek"/>
    <w:uiPriority w:val="99"/>
    <w:rsid w:val="00403EF8"/>
    <w:rPr>
      <w:rFonts w:ascii="Calibri" w:hAnsi="Calibri" w:cs="Calibri"/>
    </w:rPr>
  </w:style>
  <w:style w:type="paragraph" w:styleId="Stopka">
    <w:name w:val="footer"/>
    <w:basedOn w:val="Normalny"/>
    <w:link w:val="StopkaZnak"/>
    <w:uiPriority w:val="99"/>
    <w:unhideWhenUsed/>
    <w:rsid w:val="00403EF8"/>
    <w:pPr>
      <w:tabs>
        <w:tab w:val="center" w:pos="4536"/>
        <w:tab w:val="right" w:pos="9072"/>
      </w:tabs>
    </w:pPr>
  </w:style>
  <w:style w:type="character" w:customStyle="1" w:styleId="StopkaZnak">
    <w:name w:val="Stopka Znak"/>
    <w:basedOn w:val="Domylnaczcionkaakapitu"/>
    <w:link w:val="Stopka"/>
    <w:uiPriority w:val="99"/>
    <w:rsid w:val="00403EF8"/>
    <w:rPr>
      <w:rFonts w:ascii="Calibri" w:hAnsi="Calibri" w:cs="Calibri"/>
    </w:rPr>
  </w:style>
  <w:style w:type="character" w:styleId="Odwoaniedokomentarza">
    <w:name w:val="annotation reference"/>
    <w:basedOn w:val="Domylnaczcionkaakapitu"/>
    <w:uiPriority w:val="99"/>
    <w:semiHidden/>
    <w:unhideWhenUsed/>
    <w:rsid w:val="00DF16CE"/>
    <w:rPr>
      <w:sz w:val="16"/>
      <w:szCs w:val="16"/>
    </w:rPr>
  </w:style>
  <w:style w:type="paragraph" w:styleId="Tekstkomentarza">
    <w:name w:val="annotation text"/>
    <w:basedOn w:val="Normalny"/>
    <w:link w:val="TekstkomentarzaZnak"/>
    <w:uiPriority w:val="99"/>
    <w:semiHidden/>
    <w:unhideWhenUsed/>
    <w:rsid w:val="00DF16CE"/>
    <w:rPr>
      <w:sz w:val="20"/>
      <w:szCs w:val="20"/>
    </w:rPr>
  </w:style>
  <w:style w:type="character" w:customStyle="1" w:styleId="TekstkomentarzaZnak">
    <w:name w:val="Tekst komentarza Znak"/>
    <w:basedOn w:val="Domylnaczcionkaakapitu"/>
    <w:link w:val="Tekstkomentarza"/>
    <w:uiPriority w:val="99"/>
    <w:semiHidden/>
    <w:rsid w:val="00DF16CE"/>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DF16CE"/>
    <w:rPr>
      <w:b/>
      <w:bCs/>
    </w:rPr>
  </w:style>
  <w:style w:type="character" w:customStyle="1" w:styleId="TematkomentarzaZnak">
    <w:name w:val="Temat komentarza Znak"/>
    <w:basedOn w:val="TekstkomentarzaZnak"/>
    <w:link w:val="Tematkomentarza"/>
    <w:uiPriority w:val="99"/>
    <w:semiHidden/>
    <w:rsid w:val="00DF16CE"/>
    <w:rPr>
      <w:rFonts w:ascii="Calibri" w:hAnsi="Calibri" w:cs="Calibri"/>
      <w:b/>
      <w:bCs/>
      <w:sz w:val="20"/>
      <w:szCs w:val="20"/>
    </w:rPr>
  </w:style>
  <w:style w:type="paragraph" w:styleId="Tekstprzypisudolnego">
    <w:name w:val="footnote text"/>
    <w:basedOn w:val="Normalny"/>
    <w:link w:val="TekstprzypisudolnegoZnak"/>
    <w:semiHidden/>
    <w:unhideWhenUsed/>
    <w:rsid w:val="00491B52"/>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91B52"/>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491B52"/>
    <w:rPr>
      <w:vertAlign w:val="superscript"/>
    </w:rPr>
  </w:style>
  <w:style w:type="paragraph" w:styleId="Tekstprzypisukocowego">
    <w:name w:val="endnote text"/>
    <w:basedOn w:val="Normalny"/>
    <w:link w:val="TekstprzypisukocowegoZnak"/>
    <w:uiPriority w:val="99"/>
    <w:semiHidden/>
    <w:unhideWhenUsed/>
    <w:rsid w:val="00364D92"/>
    <w:rPr>
      <w:sz w:val="20"/>
      <w:szCs w:val="20"/>
    </w:rPr>
  </w:style>
  <w:style w:type="character" w:customStyle="1" w:styleId="TekstprzypisukocowegoZnak">
    <w:name w:val="Tekst przypisu końcowego Znak"/>
    <w:basedOn w:val="Domylnaczcionkaakapitu"/>
    <w:link w:val="Tekstprzypisukocowego"/>
    <w:uiPriority w:val="99"/>
    <w:semiHidden/>
    <w:rsid w:val="00364D92"/>
    <w:rPr>
      <w:rFonts w:ascii="Calibri" w:hAnsi="Calibri" w:cs="Calibri"/>
      <w:sz w:val="20"/>
      <w:szCs w:val="20"/>
    </w:rPr>
  </w:style>
  <w:style w:type="character" w:styleId="Odwoanieprzypisukocowego">
    <w:name w:val="endnote reference"/>
    <w:basedOn w:val="Domylnaczcionkaakapitu"/>
    <w:uiPriority w:val="99"/>
    <w:semiHidden/>
    <w:unhideWhenUsed/>
    <w:rsid w:val="00364D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8785">
      <w:bodyDiv w:val="1"/>
      <w:marLeft w:val="0"/>
      <w:marRight w:val="0"/>
      <w:marTop w:val="0"/>
      <w:marBottom w:val="0"/>
      <w:divBdr>
        <w:top w:val="none" w:sz="0" w:space="0" w:color="auto"/>
        <w:left w:val="none" w:sz="0" w:space="0" w:color="auto"/>
        <w:bottom w:val="none" w:sz="0" w:space="0" w:color="auto"/>
        <w:right w:val="none" w:sz="0" w:space="0" w:color="auto"/>
      </w:divBdr>
    </w:div>
    <w:div w:id="638650745">
      <w:bodyDiv w:val="1"/>
      <w:marLeft w:val="0"/>
      <w:marRight w:val="0"/>
      <w:marTop w:val="0"/>
      <w:marBottom w:val="0"/>
      <w:divBdr>
        <w:top w:val="none" w:sz="0" w:space="0" w:color="auto"/>
        <w:left w:val="none" w:sz="0" w:space="0" w:color="auto"/>
        <w:bottom w:val="none" w:sz="0" w:space="0" w:color="auto"/>
        <w:right w:val="none" w:sz="0" w:space="0" w:color="auto"/>
      </w:divBdr>
    </w:div>
    <w:div w:id="1078936847">
      <w:bodyDiv w:val="1"/>
      <w:marLeft w:val="0"/>
      <w:marRight w:val="0"/>
      <w:marTop w:val="0"/>
      <w:marBottom w:val="0"/>
      <w:divBdr>
        <w:top w:val="none" w:sz="0" w:space="0" w:color="auto"/>
        <w:left w:val="none" w:sz="0" w:space="0" w:color="auto"/>
        <w:bottom w:val="none" w:sz="0" w:space="0" w:color="auto"/>
        <w:right w:val="none" w:sz="0" w:space="0" w:color="auto"/>
      </w:divBdr>
    </w:div>
    <w:div w:id="1174414865">
      <w:bodyDiv w:val="1"/>
      <w:marLeft w:val="0"/>
      <w:marRight w:val="0"/>
      <w:marTop w:val="0"/>
      <w:marBottom w:val="0"/>
      <w:divBdr>
        <w:top w:val="none" w:sz="0" w:space="0" w:color="auto"/>
        <w:left w:val="none" w:sz="0" w:space="0" w:color="auto"/>
        <w:bottom w:val="none" w:sz="0" w:space="0" w:color="auto"/>
        <w:right w:val="none" w:sz="0" w:space="0" w:color="auto"/>
      </w:divBdr>
    </w:div>
    <w:div w:id="1196310685">
      <w:bodyDiv w:val="1"/>
      <w:marLeft w:val="0"/>
      <w:marRight w:val="0"/>
      <w:marTop w:val="0"/>
      <w:marBottom w:val="0"/>
      <w:divBdr>
        <w:top w:val="none" w:sz="0" w:space="0" w:color="auto"/>
        <w:left w:val="none" w:sz="0" w:space="0" w:color="auto"/>
        <w:bottom w:val="none" w:sz="0" w:space="0" w:color="auto"/>
        <w:right w:val="none" w:sz="0" w:space="0" w:color="auto"/>
      </w:divBdr>
    </w:div>
    <w:div w:id="1607031861">
      <w:bodyDiv w:val="1"/>
      <w:marLeft w:val="0"/>
      <w:marRight w:val="0"/>
      <w:marTop w:val="0"/>
      <w:marBottom w:val="0"/>
      <w:divBdr>
        <w:top w:val="none" w:sz="0" w:space="0" w:color="auto"/>
        <w:left w:val="none" w:sz="0" w:space="0" w:color="auto"/>
        <w:bottom w:val="none" w:sz="0" w:space="0" w:color="auto"/>
        <w:right w:val="none" w:sz="0" w:space="0" w:color="auto"/>
      </w:divBdr>
    </w:div>
    <w:div w:id="1623614458">
      <w:bodyDiv w:val="1"/>
      <w:marLeft w:val="0"/>
      <w:marRight w:val="0"/>
      <w:marTop w:val="0"/>
      <w:marBottom w:val="0"/>
      <w:divBdr>
        <w:top w:val="none" w:sz="0" w:space="0" w:color="auto"/>
        <w:left w:val="none" w:sz="0" w:space="0" w:color="auto"/>
        <w:bottom w:val="none" w:sz="0" w:space="0" w:color="auto"/>
        <w:right w:val="none" w:sz="0" w:space="0" w:color="auto"/>
      </w:divBdr>
    </w:div>
    <w:div w:id="1658531221">
      <w:bodyDiv w:val="1"/>
      <w:marLeft w:val="0"/>
      <w:marRight w:val="0"/>
      <w:marTop w:val="0"/>
      <w:marBottom w:val="0"/>
      <w:divBdr>
        <w:top w:val="none" w:sz="0" w:space="0" w:color="auto"/>
        <w:left w:val="none" w:sz="0" w:space="0" w:color="auto"/>
        <w:bottom w:val="none" w:sz="0" w:space="0" w:color="auto"/>
        <w:right w:val="none" w:sz="0" w:space="0" w:color="auto"/>
      </w:divBdr>
    </w:div>
    <w:div w:id="196303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8651A-72EE-4B0E-98C5-74759B3B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1900</Words>
  <Characters>11402</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Antkowiak</dc:creator>
  <cp:lastModifiedBy>Iwona Pragnąca</cp:lastModifiedBy>
  <cp:revision>26</cp:revision>
  <cp:lastPrinted>2021-03-26T08:24:00Z</cp:lastPrinted>
  <dcterms:created xsi:type="dcterms:W3CDTF">2021-03-23T11:02:00Z</dcterms:created>
  <dcterms:modified xsi:type="dcterms:W3CDTF">2021-03-26T08:27:00Z</dcterms:modified>
</cp:coreProperties>
</file>